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4BFB" w:rsidRPr="00AD4BFB" w:rsidRDefault="00AD4BFB" w:rsidP="00AD4BFB">
      <w:pPr>
        <w:spacing w:before="300" w:after="150" w:line="240" w:lineRule="auto"/>
        <w:outlineLvl w:val="1"/>
        <w:rPr>
          <w:rFonts w:ascii="Helvetica" w:eastAsia="Times New Roman" w:hAnsi="Helvetica" w:cs="Helvetica"/>
          <w:color w:val="333333"/>
          <w:sz w:val="45"/>
          <w:szCs w:val="45"/>
          <w:lang w:eastAsia="it-IT"/>
        </w:rPr>
      </w:pPr>
      <w:r w:rsidRPr="00AD4BFB">
        <w:rPr>
          <w:rFonts w:ascii="Helvetica" w:eastAsia="Times New Roman" w:hAnsi="Helvetica" w:cs="Helvetica"/>
          <w:color w:val="333333"/>
          <w:sz w:val="45"/>
          <w:szCs w:val="45"/>
          <w:lang w:eastAsia="it-IT"/>
        </w:rPr>
        <w:t>Gestione amministrativa ERP</w:t>
      </w:r>
    </w:p>
    <w:p w:rsidR="00AD4BFB" w:rsidRPr="00AD4BFB" w:rsidRDefault="00AD4BFB" w:rsidP="00AD4BFB">
      <w:pPr>
        <w:spacing w:after="150" w:line="240" w:lineRule="auto"/>
        <w:rPr>
          <w:rFonts w:ascii="Helvetica" w:eastAsia="Times New Roman" w:hAnsi="Helvetica" w:cs="Helvetica"/>
          <w:color w:val="333333"/>
          <w:sz w:val="21"/>
          <w:szCs w:val="21"/>
          <w:lang w:eastAsia="it-IT"/>
        </w:rPr>
      </w:pPr>
      <w:r w:rsidRPr="00AD4BFB">
        <w:rPr>
          <w:rFonts w:ascii="Helvetica" w:eastAsia="Times New Roman" w:hAnsi="Helvetica" w:cs="Helvetica"/>
          <w:color w:val="333333"/>
          <w:sz w:val="21"/>
          <w:szCs w:val="21"/>
          <w:lang w:eastAsia="it-IT"/>
        </w:rPr>
        <w:t xml:space="preserve">L'edilizia sociale (il servizio pubblico che fornisce case sociali ai non abbienti) sul territorio del Comune di Roma è affidata all'ATER per gli alloggi di sua proprietà e al Comune di Roma per gli alloggi di proprietà del Comune stesso. </w:t>
      </w:r>
      <w:r w:rsidRPr="00AD4BFB">
        <w:rPr>
          <w:rFonts w:ascii="Helvetica" w:eastAsia="Times New Roman" w:hAnsi="Helvetica" w:cs="Helvetica"/>
          <w:color w:val="333333"/>
          <w:sz w:val="21"/>
          <w:szCs w:val="21"/>
          <w:lang w:eastAsia="it-IT"/>
        </w:rPr>
        <w:br/>
        <w:t xml:space="preserve">L'assegnazione degli alloggi sociali </w:t>
      </w:r>
      <w:proofErr w:type="spellStart"/>
      <w:r w:rsidRPr="00AD4BFB">
        <w:rPr>
          <w:rFonts w:ascii="Helvetica" w:eastAsia="Times New Roman" w:hAnsi="Helvetica" w:cs="Helvetica"/>
          <w:color w:val="333333"/>
          <w:sz w:val="21"/>
          <w:szCs w:val="21"/>
          <w:lang w:eastAsia="it-IT"/>
        </w:rPr>
        <w:t>é</w:t>
      </w:r>
      <w:proofErr w:type="spellEnd"/>
      <w:r w:rsidRPr="00AD4BFB">
        <w:rPr>
          <w:rFonts w:ascii="Helvetica" w:eastAsia="Times New Roman" w:hAnsi="Helvetica" w:cs="Helvetica"/>
          <w:color w:val="333333"/>
          <w:sz w:val="21"/>
          <w:szCs w:val="21"/>
          <w:lang w:eastAsia="it-IT"/>
        </w:rPr>
        <w:t xml:space="preserve"> competenza unica ed esclusiva del Comune di Roma, che a seguito dell'emanazione di apposito bando, elabora e pubblica una graduatoria di aventi diritto all'assegnazione. </w:t>
      </w:r>
      <w:r w:rsidRPr="00AD4BFB">
        <w:rPr>
          <w:rFonts w:ascii="Helvetica" w:eastAsia="Times New Roman" w:hAnsi="Helvetica" w:cs="Helvetica"/>
          <w:color w:val="333333"/>
          <w:sz w:val="21"/>
          <w:szCs w:val="21"/>
          <w:lang w:eastAsia="it-IT"/>
        </w:rPr>
        <w:br/>
        <w:t xml:space="preserve">I criteri per l'accesso all’edilizia sociale sono definiti nel </w:t>
      </w:r>
      <w:hyperlink r:id="rId6" w:tooltip="sito istituzionale del comune di roma" w:history="1">
        <w:r w:rsidRPr="00AD4BFB">
          <w:rPr>
            <w:rFonts w:ascii="Helvetica" w:eastAsia="Times New Roman" w:hAnsi="Helvetica" w:cs="Helvetica"/>
            <w:color w:val="337AB7"/>
            <w:sz w:val="21"/>
            <w:szCs w:val="21"/>
            <w:lang w:eastAsia="it-IT"/>
          </w:rPr>
          <w:t>bando</w:t>
        </w:r>
      </w:hyperlink>
      <w:r w:rsidRPr="00AD4BFB">
        <w:rPr>
          <w:rFonts w:ascii="Helvetica" w:eastAsia="Times New Roman" w:hAnsi="Helvetica" w:cs="Helvetica"/>
          <w:color w:val="333333"/>
          <w:sz w:val="21"/>
          <w:szCs w:val="21"/>
          <w:lang w:eastAsia="it-IT"/>
        </w:rPr>
        <w:t xml:space="preserve"> stesso. </w:t>
      </w:r>
      <w:r w:rsidRPr="00AD4BFB">
        <w:rPr>
          <w:rFonts w:ascii="Helvetica" w:eastAsia="Times New Roman" w:hAnsi="Helvetica" w:cs="Helvetica"/>
          <w:color w:val="333333"/>
          <w:sz w:val="21"/>
          <w:szCs w:val="21"/>
          <w:lang w:eastAsia="it-IT"/>
        </w:rPr>
        <w:br/>
        <w:t xml:space="preserve">All'ATER spetta, invece, la gestione successiva all'assegnazione degli alloggi di sua proprietà destinati all'edilizia sociale e ogni altra attività che rientra nei suoi fini istituzionali, previsti dalla normativa regionale. </w:t>
      </w:r>
      <w:r w:rsidRPr="00AD4BFB">
        <w:rPr>
          <w:rFonts w:ascii="Helvetica" w:eastAsia="Times New Roman" w:hAnsi="Helvetica" w:cs="Helvetica"/>
          <w:color w:val="333333"/>
          <w:sz w:val="21"/>
          <w:szCs w:val="21"/>
          <w:lang w:eastAsia="it-IT"/>
        </w:rPr>
        <w:br/>
        <w:t xml:space="preserve">In particolare, ATER provvede a rispondere alle istanze dell’utenza (ad esempio subentro, ampliamento ecc.) e ad avviare le azioni di controllo e perseguimento, per esempio della morosità e delle occupazioni abusive. </w:t>
      </w:r>
      <w:r w:rsidRPr="00AD4BFB">
        <w:rPr>
          <w:rFonts w:ascii="Helvetica" w:eastAsia="Times New Roman" w:hAnsi="Helvetica" w:cs="Helvetica"/>
          <w:color w:val="333333"/>
          <w:sz w:val="21"/>
          <w:szCs w:val="21"/>
          <w:lang w:eastAsia="it-IT"/>
        </w:rPr>
        <w:br/>
        <w:t xml:space="preserve">ATER deve soprattutto accertare periodicamente su tutti gli utenti o a campione la permanenza dei requisiti per la conservazione dell'assegnazione, tramite censimenti biennali e verifiche puntuali, anche sulla veridicità delle dichiarazioni rese dagli utenti, attivandosi anche in sede penale se riscontra dei falsi. </w:t>
      </w:r>
    </w:p>
    <w:p w:rsidR="00AD4BFB" w:rsidRPr="00AD4BFB" w:rsidRDefault="00AD4BFB" w:rsidP="00AD4BFB">
      <w:pPr>
        <w:spacing w:after="0" w:line="240" w:lineRule="auto"/>
        <w:rPr>
          <w:rFonts w:ascii="Helvetica" w:eastAsia="Times New Roman" w:hAnsi="Helvetica" w:cs="Helvetica"/>
          <w:color w:val="333333"/>
          <w:sz w:val="21"/>
          <w:szCs w:val="21"/>
          <w:lang w:eastAsia="it-IT"/>
        </w:rPr>
      </w:pPr>
      <w:r w:rsidRPr="00AD4BFB">
        <w:rPr>
          <w:rFonts w:ascii="Helvetica" w:eastAsia="Times New Roman" w:hAnsi="Helvetica" w:cs="Helvetica"/>
          <w:color w:val="333333"/>
          <w:sz w:val="21"/>
          <w:szCs w:val="21"/>
          <w:lang w:eastAsia="it-IT"/>
        </w:rPr>
        <w:br/>
      </w:r>
      <w:r w:rsidRPr="00AD4BFB">
        <w:rPr>
          <w:rFonts w:ascii="Helvetica" w:eastAsia="Times New Roman" w:hAnsi="Helvetica" w:cs="Helvetica"/>
          <w:b/>
          <w:bCs/>
          <w:color w:val="333333"/>
          <w:sz w:val="21"/>
          <w:szCs w:val="21"/>
          <w:lang w:eastAsia="it-IT"/>
        </w:rPr>
        <w:t>DETERMINAZIONE DEL CANONE DI LOCAZIONE DEGLI ALLOGGI ERP</w:t>
      </w:r>
      <w:r w:rsidRPr="00AD4BFB">
        <w:rPr>
          <w:rFonts w:ascii="Helvetica" w:eastAsia="Times New Roman" w:hAnsi="Helvetica" w:cs="Helvetica"/>
          <w:color w:val="333333"/>
          <w:sz w:val="21"/>
          <w:szCs w:val="21"/>
          <w:lang w:eastAsia="it-IT"/>
        </w:rPr>
        <w:t xml:space="preserve"> </w:t>
      </w:r>
    </w:p>
    <w:p w:rsidR="00AD4BFB" w:rsidRPr="00AD4BFB" w:rsidRDefault="00AD4BFB" w:rsidP="00AD4BFB">
      <w:pPr>
        <w:spacing w:after="150" w:line="240" w:lineRule="auto"/>
        <w:rPr>
          <w:rFonts w:ascii="Helvetica" w:eastAsia="Times New Roman" w:hAnsi="Helvetica" w:cs="Helvetica"/>
          <w:color w:val="333333"/>
          <w:sz w:val="21"/>
          <w:szCs w:val="21"/>
          <w:lang w:eastAsia="it-IT"/>
        </w:rPr>
      </w:pPr>
      <w:r w:rsidRPr="00AD4BFB">
        <w:rPr>
          <w:rFonts w:ascii="Helvetica" w:eastAsia="Times New Roman" w:hAnsi="Helvetica" w:cs="Helvetica"/>
          <w:color w:val="333333"/>
          <w:sz w:val="21"/>
          <w:szCs w:val="21"/>
          <w:lang w:eastAsia="it-IT"/>
        </w:rPr>
        <w:t>(normativa al mese di luglio 2019)</w:t>
      </w:r>
    </w:p>
    <w:p w:rsidR="00AD4BFB" w:rsidRPr="00AD4BFB" w:rsidRDefault="00AD4BFB" w:rsidP="00AD4BFB">
      <w:pPr>
        <w:spacing w:after="150" w:line="240" w:lineRule="auto"/>
        <w:rPr>
          <w:rFonts w:ascii="Helvetica" w:eastAsia="Times New Roman" w:hAnsi="Helvetica" w:cs="Helvetica"/>
          <w:color w:val="333333"/>
          <w:sz w:val="21"/>
          <w:szCs w:val="21"/>
          <w:lang w:eastAsia="it-IT"/>
        </w:rPr>
      </w:pPr>
      <w:r w:rsidRPr="00AD4BFB">
        <w:rPr>
          <w:rFonts w:ascii="Helvetica" w:eastAsia="Times New Roman" w:hAnsi="Helvetica" w:cs="Helvetica"/>
          <w:color w:val="333333"/>
          <w:sz w:val="21"/>
          <w:szCs w:val="21"/>
          <w:lang w:eastAsia="it-IT"/>
        </w:rPr>
        <w:t xml:space="preserve">Il canone di locazione applicato agli alloggi di Edilizia Residenziale Pubblica (ERP) è regolamentato dalle leggi regionali del Lazio. Viene determinato calcolando sia il canone oggettivo dell’alloggio (equo canone), sia il canone soggettivo riferito al reddito annuo complessivo del nucleo familiare abitante l’alloggio. Dopo aver applicato i coefficienti corrispondenti alla fascia in cui è stato collocato l’assegnatario, per canone oggettivo e soggettivo, si applica il minor canone tra i due. </w:t>
      </w:r>
    </w:p>
    <w:p w:rsidR="00AD4BFB" w:rsidRPr="00AD4BFB" w:rsidRDefault="00AD4BFB" w:rsidP="00AD4BFB">
      <w:pPr>
        <w:spacing w:after="0" w:line="240" w:lineRule="auto"/>
        <w:rPr>
          <w:rFonts w:ascii="Helvetica" w:eastAsia="Times New Roman" w:hAnsi="Helvetica" w:cs="Helvetica"/>
          <w:color w:val="333333"/>
          <w:sz w:val="21"/>
          <w:szCs w:val="21"/>
          <w:lang w:eastAsia="it-IT"/>
        </w:rPr>
      </w:pPr>
    </w:p>
    <w:p w:rsidR="00AD4BFB" w:rsidRPr="00AD4BFB" w:rsidRDefault="00AD4BFB" w:rsidP="00AD4BFB">
      <w:pPr>
        <w:spacing w:after="150" w:line="240" w:lineRule="auto"/>
        <w:rPr>
          <w:rFonts w:ascii="Helvetica" w:eastAsia="Times New Roman" w:hAnsi="Helvetica" w:cs="Helvetica"/>
          <w:color w:val="333333"/>
          <w:sz w:val="21"/>
          <w:szCs w:val="21"/>
          <w:lang w:eastAsia="it-IT"/>
        </w:rPr>
      </w:pPr>
      <w:r w:rsidRPr="00AD4BFB">
        <w:rPr>
          <w:rFonts w:ascii="Helvetica" w:eastAsia="Times New Roman" w:hAnsi="Helvetica" w:cs="Helvetica"/>
          <w:color w:val="333333"/>
          <w:sz w:val="21"/>
          <w:szCs w:val="21"/>
          <w:lang w:eastAsia="it-IT"/>
        </w:rPr>
        <w:t>Di seguito sono riportate le principali leggi che regolamentano la materia:</w:t>
      </w:r>
    </w:p>
    <w:p w:rsidR="00AD4BFB" w:rsidRPr="00AD4BFB" w:rsidRDefault="00AD4BFB" w:rsidP="00AD4BFB">
      <w:pPr>
        <w:numPr>
          <w:ilvl w:val="0"/>
          <w:numId w:val="1"/>
        </w:numPr>
        <w:spacing w:before="100" w:beforeAutospacing="1" w:after="100" w:afterAutospacing="1" w:line="240" w:lineRule="auto"/>
        <w:ind w:left="495"/>
        <w:rPr>
          <w:rFonts w:ascii="Helvetica" w:eastAsia="Times New Roman" w:hAnsi="Helvetica" w:cs="Helvetica"/>
          <w:color w:val="333333"/>
          <w:sz w:val="21"/>
          <w:szCs w:val="21"/>
          <w:lang w:eastAsia="it-IT"/>
        </w:rPr>
      </w:pPr>
      <w:r w:rsidRPr="00AD4BFB">
        <w:rPr>
          <w:rFonts w:ascii="Helvetica" w:eastAsia="Times New Roman" w:hAnsi="Helvetica" w:cs="Helvetica"/>
          <w:color w:val="333333"/>
          <w:sz w:val="21"/>
          <w:szCs w:val="21"/>
          <w:lang w:eastAsia="it-IT"/>
        </w:rPr>
        <w:t>Legge n. 392/1978 (equo canone)</w:t>
      </w:r>
    </w:p>
    <w:p w:rsidR="00AD4BFB" w:rsidRPr="00AD4BFB" w:rsidRDefault="00AD4BFB" w:rsidP="00AD4BFB">
      <w:pPr>
        <w:numPr>
          <w:ilvl w:val="0"/>
          <w:numId w:val="1"/>
        </w:numPr>
        <w:spacing w:before="100" w:beforeAutospacing="1" w:after="100" w:afterAutospacing="1" w:line="240" w:lineRule="auto"/>
        <w:ind w:left="495"/>
        <w:rPr>
          <w:rFonts w:ascii="Helvetica" w:eastAsia="Times New Roman" w:hAnsi="Helvetica" w:cs="Helvetica"/>
          <w:color w:val="333333"/>
          <w:sz w:val="21"/>
          <w:szCs w:val="21"/>
          <w:lang w:eastAsia="it-IT"/>
        </w:rPr>
      </w:pPr>
      <w:proofErr w:type="spellStart"/>
      <w:r w:rsidRPr="00AD4BFB">
        <w:rPr>
          <w:rFonts w:ascii="Helvetica" w:eastAsia="Times New Roman" w:hAnsi="Helvetica" w:cs="Helvetica"/>
          <w:color w:val="333333"/>
          <w:sz w:val="21"/>
          <w:szCs w:val="21"/>
          <w:lang w:eastAsia="it-IT"/>
        </w:rPr>
        <w:t>Leggen</w:t>
      </w:r>
      <w:proofErr w:type="spellEnd"/>
      <w:r w:rsidRPr="00AD4BFB">
        <w:rPr>
          <w:rFonts w:ascii="Helvetica" w:eastAsia="Times New Roman" w:hAnsi="Helvetica" w:cs="Helvetica"/>
          <w:color w:val="333333"/>
          <w:sz w:val="21"/>
          <w:szCs w:val="21"/>
          <w:lang w:eastAsia="it-IT"/>
        </w:rPr>
        <w:t>. 457/1978, art. 21 (reddito convenzionale)</w:t>
      </w:r>
    </w:p>
    <w:p w:rsidR="00AD4BFB" w:rsidRPr="00AD4BFB" w:rsidRDefault="00AD4BFB" w:rsidP="00AD4BFB">
      <w:pPr>
        <w:numPr>
          <w:ilvl w:val="0"/>
          <w:numId w:val="1"/>
        </w:numPr>
        <w:spacing w:before="100" w:beforeAutospacing="1" w:after="100" w:afterAutospacing="1" w:line="240" w:lineRule="auto"/>
        <w:ind w:left="495"/>
        <w:rPr>
          <w:rFonts w:ascii="Helvetica" w:eastAsia="Times New Roman" w:hAnsi="Helvetica" w:cs="Helvetica"/>
          <w:color w:val="333333"/>
          <w:sz w:val="21"/>
          <w:szCs w:val="21"/>
          <w:lang w:eastAsia="it-IT"/>
        </w:rPr>
      </w:pPr>
      <w:r w:rsidRPr="00AD4BFB">
        <w:rPr>
          <w:rFonts w:ascii="Helvetica" w:eastAsia="Times New Roman" w:hAnsi="Helvetica" w:cs="Helvetica"/>
          <w:color w:val="333333"/>
          <w:sz w:val="21"/>
          <w:szCs w:val="21"/>
          <w:lang w:eastAsia="it-IT"/>
        </w:rPr>
        <w:t>LR n. 33/1987</w:t>
      </w:r>
    </w:p>
    <w:p w:rsidR="00AD4BFB" w:rsidRPr="00AD4BFB" w:rsidRDefault="00AD4BFB" w:rsidP="00AD4BFB">
      <w:pPr>
        <w:numPr>
          <w:ilvl w:val="0"/>
          <w:numId w:val="1"/>
        </w:numPr>
        <w:spacing w:before="100" w:beforeAutospacing="1" w:after="100" w:afterAutospacing="1" w:line="240" w:lineRule="auto"/>
        <w:ind w:left="495"/>
        <w:rPr>
          <w:rFonts w:ascii="Helvetica" w:eastAsia="Times New Roman" w:hAnsi="Helvetica" w:cs="Helvetica"/>
          <w:color w:val="333333"/>
          <w:sz w:val="21"/>
          <w:szCs w:val="21"/>
          <w:lang w:eastAsia="it-IT"/>
        </w:rPr>
      </w:pPr>
      <w:r w:rsidRPr="00AD4BFB">
        <w:rPr>
          <w:rFonts w:ascii="Helvetica" w:eastAsia="Times New Roman" w:hAnsi="Helvetica" w:cs="Helvetica"/>
          <w:color w:val="333333"/>
          <w:sz w:val="21"/>
          <w:szCs w:val="21"/>
          <w:lang w:eastAsia="it-IT"/>
        </w:rPr>
        <w:t>LR n. 30/1990</w:t>
      </w:r>
    </w:p>
    <w:p w:rsidR="00AD4BFB" w:rsidRPr="00AD4BFB" w:rsidRDefault="00AD4BFB" w:rsidP="00AD4BFB">
      <w:pPr>
        <w:numPr>
          <w:ilvl w:val="0"/>
          <w:numId w:val="1"/>
        </w:numPr>
        <w:spacing w:before="100" w:beforeAutospacing="1" w:after="100" w:afterAutospacing="1" w:line="240" w:lineRule="auto"/>
        <w:ind w:left="495"/>
        <w:rPr>
          <w:rFonts w:ascii="Helvetica" w:eastAsia="Times New Roman" w:hAnsi="Helvetica" w:cs="Helvetica"/>
          <w:color w:val="333333"/>
          <w:sz w:val="21"/>
          <w:szCs w:val="21"/>
          <w:lang w:eastAsia="it-IT"/>
        </w:rPr>
      </w:pPr>
      <w:r w:rsidRPr="00AD4BFB">
        <w:rPr>
          <w:rFonts w:ascii="Helvetica" w:eastAsia="Times New Roman" w:hAnsi="Helvetica" w:cs="Helvetica"/>
          <w:color w:val="333333"/>
          <w:sz w:val="21"/>
          <w:szCs w:val="21"/>
          <w:lang w:eastAsia="it-IT"/>
        </w:rPr>
        <w:t>LR n. 25/1997</w:t>
      </w:r>
    </w:p>
    <w:p w:rsidR="00AD4BFB" w:rsidRPr="00AD4BFB" w:rsidRDefault="00AD4BFB" w:rsidP="00AD4BFB">
      <w:pPr>
        <w:numPr>
          <w:ilvl w:val="0"/>
          <w:numId w:val="1"/>
        </w:numPr>
        <w:spacing w:before="100" w:beforeAutospacing="1" w:after="100" w:afterAutospacing="1" w:line="240" w:lineRule="auto"/>
        <w:ind w:left="495"/>
        <w:rPr>
          <w:rFonts w:ascii="Helvetica" w:eastAsia="Times New Roman" w:hAnsi="Helvetica" w:cs="Helvetica"/>
          <w:color w:val="333333"/>
          <w:sz w:val="21"/>
          <w:szCs w:val="21"/>
          <w:lang w:eastAsia="it-IT"/>
        </w:rPr>
      </w:pPr>
      <w:r w:rsidRPr="00AD4BFB">
        <w:rPr>
          <w:rFonts w:ascii="Helvetica" w:eastAsia="Times New Roman" w:hAnsi="Helvetica" w:cs="Helvetica"/>
          <w:color w:val="333333"/>
          <w:sz w:val="21"/>
          <w:szCs w:val="21"/>
          <w:lang w:eastAsia="it-IT"/>
        </w:rPr>
        <w:t>Legge 431/1998</w:t>
      </w:r>
    </w:p>
    <w:p w:rsidR="00AD4BFB" w:rsidRPr="00AD4BFB" w:rsidRDefault="00AD4BFB" w:rsidP="00AD4BFB">
      <w:pPr>
        <w:numPr>
          <w:ilvl w:val="0"/>
          <w:numId w:val="1"/>
        </w:numPr>
        <w:spacing w:before="100" w:beforeAutospacing="1" w:after="100" w:afterAutospacing="1" w:line="240" w:lineRule="auto"/>
        <w:ind w:left="495"/>
        <w:rPr>
          <w:rFonts w:ascii="Helvetica" w:eastAsia="Times New Roman" w:hAnsi="Helvetica" w:cs="Helvetica"/>
          <w:color w:val="333333"/>
          <w:sz w:val="21"/>
          <w:szCs w:val="21"/>
          <w:lang w:eastAsia="it-IT"/>
        </w:rPr>
      </w:pPr>
      <w:r w:rsidRPr="00AD4BFB">
        <w:rPr>
          <w:rFonts w:ascii="Helvetica" w:eastAsia="Times New Roman" w:hAnsi="Helvetica" w:cs="Helvetica"/>
          <w:color w:val="333333"/>
          <w:sz w:val="21"/>
          <w:szCs w:val="21"/>
          <w:lang w:eastAsia="it-IT"/>
        </w:rPr>
        <w:t>LR n.12/1999</w:t>
      </w:r>
    </w:p>
    <w:p w:rsidR="00AD4BFB" w:rsidRPr="00AD4BFB" w:rsidRDefault="00AD4BFB" w:rsidP="00AD4BFB">
      <w:pPr>
        <w:numPr>
          <w:ilvl w:val="0"/>
          <w:numId w:val="1"/>
        </w:numPr>
        <w:spacing w:before="100" w:beforeAutospacing="1" w:after="100" w:afterAutospacing="1" w:line="240" w:lineRule="auto"/>
        <w:ind w:left="495"/>
        <w:rPr>
          <w:rFonts w:ascii="Helvetica" w:eastAsia="Times New Roman" w:hAnsi="Helvetica" w:cs="Helvetica"/>
          <w:color w:val="333333"/>
          <w:sz w:val="21"/>
          <w:szCs w:val="21"/>
          <w:lang w:eastAsia="it-IT"/>
        </w:rPr>
      </w:pPr>
      <w:r w:rsidRPr="00AD4BFB">
        <w:rPr>
          <w:rFonts w:ascii="Helvetica" w:eastAsia="Times New Roman" w:hAnsi="Helvetica" w:cs="Helvetica"/>
          <w:color w:val="333333"/>
          <w:sz w:val="21"/>
          <w:szCs w:val="21"/>
          <w:lang w:eastAsia="it-IT"/>
        </w:rPr>
        <w:t>LR n. 10/2001, art. 284</w:t>
      </w:r>
    </w:p>
    <w:p w:rsidR="00AD4BFB" w:rsidRPr="00AD4BFB" w:rsidRDefault="00AD4BFB" w:rsidP="00AD4BFB">
      <w:pPr>
        <w:numPr>
          <w:ilvl w:val="0"/>
          <w:numId w:val="1"/>
        </w:numPr>
        <w:spacing w:before="100" w:beforeAutospacing="1" w:after="100" w:afterAutospacing="1" w:line="240" w:lineRule="auto"/>
        <w:ind w:left="495"/>
        <w:rPr>
          <w:rFonts w:ascii="Helvetica" w:eastAsia="Times New Roman" w:hAnsi="Helvetica" w:cs="Helvetica"/>
          <w:color w:val="333333"/>
          <w:sz w:val="21"/>
          <w:szCs w:val="21"/>
          <w:lang w:eastAsia="it-IT"/>
        </w:rPr>
      </w:pPr>
      <w:r w:rsidRPr="00AD4BFB">
        <w:rPr>
          <w:rFonts w:ascii="Helvetica" w:eastAsia="Times New Roman" w:hAnsi="Helvetica" w:cs="Helvetica"/>
          <w:color w:val="333333"/>
          <w:sz w:val="21"/>
          <w:szCs w:val="21"/>
          <w:lang w:eastAsia="it-IT"/>
        </w:rPr>
        <w:t>LR n. 27/2006, art 50</w:t>
      </w:r>
    </w:p>
    <w:p w:rsidR="00AD4BFB" w:rsidRPr="00AD4BFB" w:rsidRDefault="00AD4BFB" w:rsidP="00AD4BFB">
      <w:pPr>
        <w:numPr>
          <w:ilvl w:val="0"/>
          <w:numId w:val="1"/>
        </w:numPr>
        <w:spacing w:before="100" w:beforeAutospacing="1" w:after="100" w:afterAutospacing="1" w:line="240" w:lineRule="auto"/>
        <w:ind w:left="495"/>
        <w:rPr>
          <w:rFonts w:ascii="Helvetica" w:eastAsia="Times New Roman" w:hAnsi="Helvetica" w:cs="Helvetica"/>
          <w:color w:val="333333"/>
          <w:sz w:val="21"/>
          <w:szCs w:val="21"/>
          <w:lang w:eastAsia="it-IT"/>
        </w:rPr>
      </w:pPr>
      <w:r w:rsidRPr="00AD4BFB">
        <w:rPr>
          <w:rFonts w:ascii="Helvetica" w:eastAsia="Times New Roman" w:hAnsi="Helvetica" w:cs="Helvetica"/>
          <w:color w:val="333333"/>
          <w:sz w:val="21"/>
          <w:szCs w:val="21"/>
          <w:lang w:eastAsia="it-IT"/>
        </w:rPr>
        <w:t>LR n. 11/2007</w:t>
      </w:r>
    </w:p>
    <w:p w:rsidR="00AD4BFB" w:rsidRPr="00AD4BFB" w:rsidRDefault="00AD4BFB" w:rsidP="00AD4BFB">
      <w:pPr>
        <w:spacing w:after="150" w:line="240" w:lineRule="auto"/>
        <w:rPr>
          <w:rFonts w:ascii="Helvetica" w:eastAsia="Times New Roman" w:hAnsi="Helvetica" w:cs="Helvetica"/>
          <w:color w:val="333333"/>
          <w:sz w:val="21"/>
          <w:szCs w:val="21"/>
          <w:lang w:eastAsia="it-IT"/>
        </w:rPr>
      </w:pPr>
      <w:r w:rsidRPr="00AD4BFB">
        <w:rPr>
          <w:rFonts w:ascii="Helvetica" w:eastAsia="Times New Roman" w:hAnsi="Helvetica" w:cs="Helvetica"/>
          <w:color w:val="333333"/>
          <w:sz w:val="21"/>
          <w:szCs w:val="21"/>
          <w:lang w:eastAsia="it-IT"/>
        </w:rPr>
        <w:t>I dati principali che concorrono al calcolo dei canoni oggettivo e soggettivo sono i componenti del nucleo familiare e le loro caratteristiche soggettive, il reddito percepito da ciascun componente del nucleo (con la specifica dei redditi dei figli e coniuge non residente) e le caratteristiche oggettive dell’immobile.</w:t>
      </w:r>
    </w:p>
    <w:p w:rsidR="00AD4BFB" w:rsidRPr="00AD4BFB" w:rsidRDefault="00AD4BFB" w:rsidP="00AD4BFB">
      <w:pPr>
        <w:spacing w:after="0" w:line="240" w:lineRule="auto"/>
        <w:rPr>
          <w:rFonts w:ascii="Helvetica" w:eastAsia="Times New Roman" w:hAnsi="Helvetica" w:cs="Helvetica"/>
          <w:color w:val="333333"/>
          <w:sz w:val="21"/>
          <w:szCs w:val="21"/>
          <w:lang w:eastAsia="it-IT"/>
        </w:rPr>
      </w:pPr>
      <w:r w:rsidRPr="00AD4BFB">
        <w:rPr>
          <w:rFonts w:ascii="Helvetica" w:eastAsia="Times New Roman" w:hAnsi="Helvetica" w:cs="Helvetica"/>
          <w:b/>
          <w:bCs/>
          <w:color w:val="333333"/>
          <w:sz w:val="21"/>
          <w:szCs w:val="21"/>
          <w:lang w:eastAsia="it-IT"/>
        </w:rPr>
        <w:t>CANONE SOGGETTIVO</w:t>
      </w:r>
      <w:r w:rsidRPr="00AD4BFB">
        <w:rPr>
          <w:rFonts w:ascii="Helvetica" w:eastAsia="Times New Roman" w:hAnsi="Helvetica" w:cs="Helvetica"/>
          <w:color w:val="333333"/>
          <w:sz w:val="21"/>
          <w:szCs w:val="21"/>
          <w:lang w:eastAsia="it-IT"/>
        </w:rPr>
        <w:t xml:space="preserve"> </w:t>
      </w:r>
    </w:p>
    <w:p w:rsidR="00AD4BFB" w:rsidRPr="00AD4BFB" w:rsidRDefault="00AD4BFB" w:rsidP="00AD4BFB">
      <w:pPr>
        <w:spacing w:after="150" w:line="240" w:lineRule="auto"/>
        <w:rPr>
          <w:rFonts w:ascii="Helvetica" w:eastAsia="Times New Roman" w:hAnsi="Helvetica" w:cs="Helvetica"/>
          <w:color w:val="333333"/>
          <w:sz w:val="21"/>
          <w:szCs w:val="21"/>
          <w:lang w:eastAsia="it-IT"/>
        </w:rPr>
      </w:pPr>
      <w:r w:rsidRPr="00AD4BFB">
        <w:rPr>
          <w:rFonts w:ascii="Helvetica" w:eastAsia="Times New Roman" w:hAnsi="Helvetica" w:cs="Helvetica"/>
          <w:color w:val="333333"/>
          <w:sz w:val="21"/>
          <w:szCs w:val="21"/>
          <w:lang w:eastAsia="it-IT"/>
        </w:rPr>
        <w:t xml:space="preserve">Il canone soggettivo è determinato dal reddito complessivo lordo del nucleo familiare e dalle caratteristiche soggettive dei componenti che </w:t>
      </w:r>
      <w:r w:rsidRPr="00AD4BFB">
        <w:rPr>
          <w:rFonts w:ascii="Helvetica" w:eastAsia="Times New Roman" w:hAnsi="Helvetica" w:cs="Helvetica"/>
          <w:b/>
          <w:bCs/>
          <w:color w:val="333333"/>
          <w:sz w:val="21"/>
          <w:szCs w:val="21"/>
          <w:lang w:eastAsia="it-IT"/>
        </w:rPr>
        <w:t>concorrono a individuare la fascia reddituale</w:t>
      </w:r>
      <w:r w:rsidRPr="00AD4BFB">
        <w:rPr>
          <w:rFonts w:ascii="Helvetica" w:eastAsia="Times New Roman" w:hAnsi="Helvetica" w:cs="Helvetica"/>
          <w:color w:val="333333"/>
          <w:sz w:val="21"/>
          <w:szCs w:val="21"/>
          <w:lang w:eastAsia="it-IT"/>
        </w:rPr>
        <w:t xml:space="preserve"> determinata in funzione del reddito convenzionale del nucleo.</w:t>
      </w:r>
    </w:p>
    <w:p w:rsidR="00AD4BFB" w:rsidRPr="00AD4BFB" w:rsidRDefault="00AD4BFB" w:rsidP="00AD4BFB">
      <w:pPr>
        <w:spacing w:after="0" w:line="240" w:lineRule="auto"/>
        <w:rPr>
          <w:rFonts w:ascii="Helvetica" w:eastAsia="Times New Roman" w:hAnsi="Helvetica" w:cs="Helvetica"/>
          <w:color w:val="333333"/>
          <w:sz w:val="21"/>
          <w:szCs w:val="21"/>
          <w:lang w:eastAsia="it-IT"/>
        </w:rPr>
      </w:pPr>
      <w:r w:rsidRPr="00AD4BFB">
        <w:rPr>
          <w:rFonts w:ascii="Helvetica" w:eastAsia="Times New Roman" w:hAnsi="Helvetica" w:cs="Helvetica"/>
          <w:color w:val="333333"/>
          <w:sz w:val="21"/>
          <w:szCs w:val="21"/>
          <w:lang w:eastAsia="it-IT"/>
        </w:rPr>
        <w:br/>
      </w:r>
      <w:r w:rsidRPr="00AD4BFB">
        <w:rPr>
          <w:rFonts w:ascii="Helvetica" w:eastAsia="Times New Roman" w:hAnsi="Helvetica" w:cs="Helvetica"/>
          <w:b/>
          <w:bCs/>
          <w:color w:val="333333"/>
          <w:sz w:val="21"/>
          <w:szCs w:val="21"/>
          <w:lang w:eastAsia="it-IT"/>
        </w:rPr>
        <w:t>CANONE OGGETTIVO</w:t>
      </w:r>
      <w:r w:rsidRPr="00AD4BFB">
        <w:rPr>
          <w:rFonts w:ascii="Helvetica" w:eastAsia="Times New Roman" w:hAnsi="Helvetica" w:cs="Helvetica"/>
          <w:color w:val="333333"/>
          <w:sz w:val="21"/>
          <w:szCs w:val="21"/>
          <w:lang w:eastAsia="it-IT"/>
        </w:rPr>
        <w:t xml:space="preserve"> </w:t>
      </w:r>
    </w:p>
    <w:p w:rsidR="00AD4BFB" w:rsidRPr="00AD4BFB" w:rsidRDefault="00AD4BFB" w:rsidP="00AD4BFB">
      <w:pPr>
        <w:spacing w:after="150" w:line="240" w:lineRule="auto"/>
        <w:rPr>
          <w:rFonts w:ascii="Helvetica" w:eastAsia="Times New Roman" w:hAnsi="Helvetica" w:cs="Helvetica"/>
          <w:color w:val="333333"/>
          <w:sz w:val="21"/>
          <w:szCs w:val="21"/>
          <w:lang w:eastAsia="it-IT"/>
        </w:rPr>
      </w:pPr>
      <w:r w:rsidRPr="00AD4BFB">
        <w:rPr>
          <w:rFonts w:ascii="Helvetica" w:eastAsia="Times New Roman" w:hAnsi="Helvetica" w:cs="Helvetica"/>
          <w:color w:val="333333"/>
          <w:sz w:val="21"/>
          <w:szCs w:val="21"/>
          <w:lang w:eastAsia="it-IT"/>
        </w:rPr>
        <w:t>Gli elementi per il calcolo sono quelli della legge “Equo Canone” (legge 392/1978, ora superata per molti aspetti dalla legge 431/1998).</w:t>
      </w:r>
    </w:p>
    <w:p w:rsidR="00AD4BFB" w:rsidRPr="00AD4BFB" w:rsidRDefault="00AD4BFB" w:rsidP="00AD4BFB">
      <w:pPr>
        <w:spacing w:after="150" w:line="240" w:lineRule="auto"/>
        <w:rPr>
          <w:rFonts w:ascii="Helvetica" w:eastAsia="Times New Roman" w:hAnsi="Helvetica" w:cs="Helvetica"/>
          <w:color w:val="333333"/>
          <w:sz w:val="21"/>
          <w:szCs w:val="21"/>
          <w:lang w:eastAsia="it-IT"/>
        </w:rPr>
      </w:pPr>
      <w:r w:rsidRPr="00AD4BFB">
        <w:rPr>
          <w:rFonts w:ascii="Helvetica" w:eastAsia="Times New Roman" w:hAnsi="Helvetica" w:cs="Helvetica"/>
          <w:color w:val="333333"/>
          <w:sz w:val="21"/>
          <w:szCs w:val="21"/>
          <w:lang w:eastAsia="it-IT"/>
        </w:rPr>
        <w:lastRenderedPageBreak/>
        <w:t>Agli assegnatari regolari è attribuito un canone oggettivo calcolato con le modalità previste dalla legge 392/1978, e con gli adeguamenti normativi successivi (leggi regionali 33/1987, modificata dalla legge 30/1990, 25/1997 e dalla 12/1999).</w:t>
      </w:r>
    </w:p>
    <w:p w:rsidR="00AD4BFB" w:rsidRPr="00AD4BFB" w:rsidRDefault="00AD4BFB" w:rsidP="00AD4BFB">
      <w:pPr>
        <w:spacing w:after="0" w:line="240" w:lineRule="auto"/>
        <w:rPr>
          <w:rFonts w:ascii="Helvetica" w:eastAsia="Times New Roman" w:hAnsi="Helvetica" w:cs="Helvetica"/>
          <w:color w:val="333333"/>
          <w:sz w:val="21"/>
          <w:szCs w:val="21"/>
          <w:lang w:eastAsia="it-IT"/>
        </w:rPr>
      </w:pPr>
    </w:p>
    <w:p w:rsidR="00AD4BFB" w:rsidRPr="00AD4BFB" w:rsidRDefault="00AD4BFB" w:rsidP="00AD4BFB">
      <w:pPr>
        <w:spacing w:after="150" w:line="240" w:lineRule="auto"/>
        <w:rPr>
          <w:rFonts w:ascii="Helvetica" w:eastAsia="Times New Roman" w:hAnsi="Helvetica" w:cs="Helvetica"/>
          <w:color w:val="333333"/>
          <w:sz w:val="21"/>
          <w:szCs w:val="21"/>
          <w:lang w:eastAsia="it-IT"/>
        </w:rPr>
      </w:pPr>
      <w:r w:rsidRPr="00AD4BFB">
        <w:rPr>
          <w:rFonts w:ascii="Helvetica" w:eastAsia="Times New Roman" w:hAnsi="Helvetica" w:cs="Helvetica"/>
          <w:color w:val="333333"/>
          <w:sz w:val="21"/>
          <w:szCs w:val="21"/>
          <w:lang w:eastAsia="it-IT"/>
        </w:rPr>
        <w:t>I parametri oggi applicati sono di seguito descritti:</w:t>
      </w:r>
    </w:p>
    <w:p w:rsidR="00AD4BFB" w:rsidRPr="00AD4BFB" w:rsidRDefault="00AD4BFB" w:rsidP="00AD4BFB">
      <w:pPr>
        <w:numPr>
          <w:ilvl w:val="0"/>
          <w:numId w:val="2"/>
        </w:numPr>
        <w:spacing w:before="100" w:beforeAutospacing="1" w:after="100" w:afterAutospacing="1" w:line="240" w:lineRule="auto"/>
        <w:ind w:left="495"/>
        <w:rPr>
          <w:rFonts w:ascii="Helvetica" w:eastAsia="Times New Roman" w:hAnsi="Helvetica" w:cs="Helvetica"/>
          <w:color w:val="333333"/>
          <w:sz w:val="21"/>
          <w:szCs w:val="21"/>
          <w:lang w:eastAsia="it-IT"/>
        </w:rPr>
      </w:pPr>
      <w:r w:rsidRPr="00AD4BFB">
        <w:rPr>
          <w:rFonts w:ascii="Helvetica" w:eastAsia="Times New Roman" w:hAnsi="Helvetica" w:cs="Helvetica"/>
          <w:color w:val="333333"/>
          <w:sz w:val="21"/>
          <w:szCs w:val="21"/>
          <w:u w:val="single"/>
          <w:lang w:eastAsia="it-IT"/>
        </w:rPr>
        <w:t>Costo unitario</w:t>
      </w:r>
      <w:r w:rsidRPr="00AD4BFB">
        <w:rPr>
          <w:rFonts w:ascii="Helvetica" w:eastAsia="Times New Roman" w:hAnsi="Helvetica" w:cs="Helvetica"/>
          <w:color w:val="333333"/>
          <w:sz w:val="21"/>
          <w:szCs w:val="21"/>
          <w:lang w:eastAsia="it-IT"/>
        </w:rPr>
        <w:t xml:space="preserve"> ottenuto moltiplicando il Costo base per i coefficienti relativi alle caratteristiche specifiche dell’immobile.</w:t>
      </w:r>
    </w:p>
    <w:p w:rsidR="00AD4BFB" w:rsidRPr="00AD4BFB" w:rsidRDefault="00AD4BFB" w:rsidP="00AD4BFB">
      <w:pPr>
        <w:numPr>
          <w:ilvl w:val="0"/>
          <w:numId w:val="2"/>
        </w:numPr>
        <w:spacing w:before="100" w:beforeAutospacing="1" w:after="100" w:afterAutospacing="1" w:line="240" w:lineRule="auto"/>
        <w:ind w:left="495"/>
        <w:rPr>
          <w:rFonts w:ascii="Helvetica" w:eastAsia="Times New Roman" w:hAnsi="Helvetica" w:cs="Helvetica"/>
          <w:color w:val="333333"/>
          <w:sz w:val="21"/>
          <w:szCs w:val="21"/>
          <w:lang w:eastAsia="it-IT"/>
        </w:rPr>
      </w:pPr>
      <w:r w:rsidRPr="00AD4BFB">
        <w:rPr>
          <w:rFonts w:ascii="Helvetica" w:eastAsia="Times New Roman" w:hAnsi="Helvetica" w:cs="Helvetica"/>
          <w:color w:val="333333"/>
          <w:sz w:val="21"/>
          <w:szCs w:val="21"/>
          <w:u w:val="single"/>
          <w:lang w:eastAsia="it-IT"/>
        </w:rPr>
        <w:t>Superficie</w:t>
      </w:r>
      <w:r w:rsidRPr="00AD4BFB">
        <w:rPr>
          <w:rFonts w:ascii="Helvetica" w:eastAsia="Times New Roman" w:hAnsi="Helvetica" w:cs="Helvetica"/>
          <w:color w:val="333333"/>
          <w:sz w:val="21"/>
          <w:szCs w:val="21"/>
          <w:lang w:eastAsia="it-IT"/>
        </w:rPr>
        <w:t xml:space="preserve"> convenzionale ottenuta sommando la percentuale delle diverse superfici interne ed esterne e pertinenze riportate al netto dei muri perimetrali.</w:t>
      </w:r>
    </w:p>
    <w:p w:rsidR="00AD4BFB" w:rsidRPr="00AD4BFB" w:rsidRDefault="00AD4BFB" w:rsidP="00AD4BFB">
      <w:pPr>
        <w:numPr>
          <w:ilvl w:val="0"/>
          <w:numId w:val="2"/>
        </w:numPr>
        <w:spacing w:before="100" w:beforeAutospacing="1" w:after="100" w:afterAutospacing="1" w:line="240" w:lineRule="auto"/>
        <w:ind w:left="495"/>
        <w:rPr>
          <w:rFonts w:ascii="Helvetica" w:eastAsia="Times New Roman" w:hAnsi="Helvetica" w:cs="Helvetica"/>
          <w:color w:val="333333"/>
          <w:sz w:val="21"/>
          <w:szCs w:val="21"/>
          <w:lang w:eastAsia="it-IT"/>
        </w:rPr>
      </w:pPr>
      <w:r w:rsidRPr="00AD4BFB">
        <w:rPr>
          <w:rFonts w:ascii="Helvetica" w:eastAsia="Times New Roman" w:hAnsi="Helvetica" w:cs="Helvetica"/>
          <w:color w:val="333333"/>
          <w:sz w:val="21"/>
          <w:szCs w:val="21"/>
          <w:lang w:eastAsia="it-IT"/>
        </w:rPr>
        <w:t xml:space="preserve">Coefficiente di </w:t>
      </w:r>
      <w:r w:rsidRPr="00AD4BFB">
        <w:rPr>
          <w:rFonts w:ascii="Helvetica" w:eastAsia="Times New Roman" w:hAnsi="Helvetica" w:cs="Helvetica"/>
          <w:color w:val="333333"/>
          <w:sz w:val="21"/>
          <w:szCs w:val="21"/>
          <w:u w:val="single"/>
          <w:lang w:eastAsia="it-IT"/>
        </w:rPr>
        <w:t>abbattimento</w:t>
      </w:r>
      <w:r w:rsidRPr="00AD4BFB">
        <w:rPr>
          <w:rFonts w:ascii="Helvetica" w:eastAsia="Times New Roman" w:hAnsi="Helvetica" w:cs="Helvetica"/>
          <w:color w:val="333333"/>
          <w:sz w:val="21"/>
          <w:szCs w:val="21"/>
          <w:lang w:eastAsia="it-IT"/>
        </w:rPr>
        <w:t xml:space="preserve"> del canone oggettivo nella misura di 0,0385 (non superiore dunque al 3,85% del “Valore Locativo”).</w:t>
      </w:r>
    </w:p>
    <w:p w:rsidR="00AD4BFB" w:rsidRPr="00AD4BFB" w:rsidRDefault="00AD4BFB" w:rsidP="00AD4BFB">
      <w:pPr>
        <w:numPr>
          <w:ilvl w:val="0"/>
          <w:numId w:val="2"/>
        </w:numPr>
        <w:spacing w:before="100" w:beforeAutospacing="1" w:after="100" w:afterAutospacing="1" w:line="240" w:lineRule="auto"/>
        <w:ind w:left="495"/>
        <w:rPr>
          <w:rFonts w:ascii="Helvetica" w:eastAsia="Times New Roman" w:hAnsi="Helvetica" w:cs="Helvetica"/>
          <w:color w:val="333333"/>
          <w:sz w:val="21"/>
          <w:szCs w:val="21"/>
          <w:lang w:eastAsia="it-IT"/>
        </w:rPr>
      </w:pPr>
      <w:r w:rsidRPr="00AD4BFB">
        <w:rPr>
          <w:rFonts w:ascii="Helvetica" w:eastAsia="Times New Roman" w:hAnsi="Helvetica" w:cs="Helvetica"/>
          <w:color w:val="333333"/>
          <w:sz w:val="21"/>
          <w:szCs w:val="21"/>
          <w:lang w:eastAsia="it-IT"/>
        </w:rPr>
        <w:t xml:space="preserve">L’aggiornamento </w:t>
      </w:r>
      <w:r w:rsidRPr="00AD4BFB">
        <w:rPr>
          <w:rFonts w:ascii="Helvetica" w:eastAsia="Times New Roman" w:hAnsi="Helvetica" w:cs="Helvetica"/>
          <w:color w:val="333333"/>
          <w:sz w:val="21"/>
          <w:szCs w:val="21"/>
          <w:u w:val="single"/>
          <w:lang w:eastAsia="it-IT"/>
        </w:rPr>
        <w:t>ISTAT</w:t>
      </w:r>
      <w:r w:rsidRPr="00AD4BFB">
        <w:rPr>
          <w:rFonts w:ascii="Helvetica" w:eastAsia="Times New Roman" w:hAnsi="Helvetica" w:cs="Helvetica"/>
          <w:color w:val="333333"/>
          <w:sz w:val="21"/>
          <w:szCs w:val="21"/>
          <w:lang w:eastAsia="it-IT"/>
        </w:rPr>
        <w:t xml:space="preserve"> annuale: il canone oggettivo è aggiornato annualmente nel mese di gennaio in misura pari al 75% delle variazioni annuali accertati dall’ISTAT (in base al coefficiente ISTAT annuale del mese di giugno dell’anno precedente). </w:t>
      </w:r>
    </w:p>
    <w:p w:rsidR="00AD4BFB" w:rsidRPr="00AD4BFB" w:rsidRDefault="00AD4BFB" w:rsidP="00AD4BFB">
      <w:pPr>
        <w:spacing w:after="150" w:line="240" w:lineRule="auto"/>
        <w:rPr>
          <w:rFonts w:ascii="Helvetica" w:eastAsia="Times New Roman" w:hAnsi="Helvetica" w:cs="Helvetica"/>
          <w:color w:val="333333"/>
          <w:sz w:val="21"/>
          <w:szCs w:val="21"/>
          <w:lang w:eastAsia="it-IT"/>
        </w:rPr>
      </w:pPr>
      <w:r w:rsidRPr="00AD4BFB">
        <w:rPr>
          <w:rFonts w:ascii="Helvetica" w:eastAsia="Times New Roman" w:hAnsi="Helvetica" w:cs="Helvetica"/>
          <w:color w:val="333333"/>
          <w:sz w:val="21"/>
          <w:szCs w:val="21"/>
          <w:lang w:eastAsia="it-IT"/>
        </w:rPr>
        <w:t xml:space="preserve">Pertanto la formula di calcolo del </w:t>
      </w:r>
      <w:r w:rsidRPr="00AD4BFB">
        <w:rPr>
          <w:rFonts w:ascii="Helvetica" w:eastAsia="Times New Roman" w:hAnsi="Helvetica" w:cs="Helvetica"/>
          <w:b/>
          <w:bCs/>
          <w:color w:val="333333"/>
          <w:sz w:val="21"/>
          <w:szCs w:val="21"/>
          <w:lang w:eastAsia="it-IT"/>
        </w:rPr>
        <w:t>canone ERP regionale</w:t>
      </w:r>
      <w:r w:rsidRPr="00AD4BFB">
        <w:rPr>
          <w:rFonts w:ascii="Helvetica" w:eastAsia="Times New Roman" w:hAnsi="Helvetica" w:cs="Helvetica"/>
          <w:color w:val="333333"/>
          <w:sz w:val="21"/>
          <w:szCs w:val="21"/>
          <w:lang w:eastAsia="it-IT"/>
        </w:rPr>
        <w:t xml:space="preserve"> oggettivo è la seguente:</w:t>
      </w:r>
    </w:p>
    <w:p w:rsidR="00AD4BFB" w:rsidRPr="00AD4BFB" w:rsidRDefault="00AD4BFB" w:rsidP="00AD4BFB">
      <w:pPr>
        <w:spacing w:after="0" w:line="240" w:lineRule="auto"/>
        <w:rPr>
          <w:rFonts w:ascii="Helvetica" w:eastAsia="Times New Roman" w:hAnsi="Helvetica" w:cs="Helvetica"/>
          <w:color w:val="333333"/>
          <w:sz w:val="21"/>
          <w:szCs w:val="21"/>
          <w:lang w:eastAsia="it-IT"/>
        </w:rPr>
      </w:pPr>
    </w:p>
    <w:p w:rsidR="00AD4BFB" w:rsidRPr="00AD4BFB" w:rsidRDefault="00AD4BFB" w:rsidP="00AD4BFB">
      <w:pPr>
        <w:spacing w:after="150" w:line="240" w:lineRule="auto"/>
        <w:rPr>
          <w:rFonts w:ascii="Helvetica" w:eastAsia="Times New Roman" w:hAnsi="Helvetica" w:cs="Helvetica"/>
          <w:color w:val="333333"/>
          <w:sz w:val="21"/>
          <w:szCs w:val="21"/>
          <w:lang w:eastAsia="it-IT"/>
        </w:rPr>
      </w:pPr>
      <w:r w:rsidRPr="00AD4BFB">
        <w:rPr>
          <w:rFonts w:ascii="Helvetica" w:eastAsia="Times New Roman" w:hAnsi="Helvetica" w:cs="Helvetica"/>
          <w:color w:val="333333"/>
          <w:sz w:val="21"/>
          <w:szCs w:val="21"/>
          <w:lang w:eastAsia="it-IT"/>
        </w:rPr>
        <w:t>CANONE MENSILE OGGETTIVO = Costo unitario x Superficie Convenzionale x (Coefficiente di abbattimento/12) x ISTAT complessivo</w:t>
      </w:r>
    </w:p>
    <w:p w:rsidR="00AD4BFB" w:rsidRPr="00AD4BFB" w:rsidRDefault="00AD4BFB" w:rsidP="00AD4BFB">
      <w:pPr>
        <w:spacing w:after="150" w:line="240" w:lineRule="auto"/>
        <w:rPr>
          <w:rFonts w:ascii="Helvetica" w:eastAsia="Times New Roman" w:hAnsi="Helvetica" w:cs="Helvetica"/>
          <w:color w:val="333333"/>
          <w:sz w:val="21"/>
          <w:szCs w:val="21"/>
          <w:lang w:eastAsia="it-IT"/>
        </w:rPr>
      </w:pPr>
      <w:r w:rsidRPr="00AD4BFB">
        <w:rPr>
          <w:rFonts w:ascii="Helvetica" w:eastAsia="Times New Roman" w:hAnsi="Helvetica" w:cs="Helvetica"/>
          <w:color w:val="333333"/>
          <w:sz w:val="21"/>
          <w:szCs w:val="21"/>
          <w:lang w:eastAsia="it-IT"/>
        </w:rPr>
        <w:t>Il canone così calcolato va moltiplicato per la percentuale di Equo Canone prevista per la fascia di reddito in cui si colloca l’assegnatario.</w:t>
      </w:r>
    </w:p>
    <w:p w:rsidR="00AD4BFB" w:rsidRPr="00AD4BFB" w:rsidRDefault="00AD4BFB" w:rsidP="00AD4BFB">
      <w:pPr>
        <w:spacing w:after="0" w:line="240" w:lineRule="auto"/>
        <w:rPr>
          <w:rFonts w:ascii="Helvetica" w:eastAsia="Times New Roman" w:hAnsi="Helvetica" w:cs="Helvetica"/>
          <w:color w:val="333333"/>
          <w:sz w:val="21"/>
          <w:szCs w:val="21"/>
          <w:lang w:eastAsia="it-IT"/>
        </w:rPr>
      </w:pPr>
    </w:p>
    <w:p w:rsidR="00AD4BFB" w:rsidRPr="00AD4BFB" w:rsidRDefault="00AD4BFB" w:rsidP="00AD4BFB">
      <w:pPr>
        <w:spacing w:after="150" w:line="240" w:lineRule="auto"/>
        <w:rPr>
          <w:rFonts w:ascii="Helvetica" w:eastAsia="Times New Roman" w:hAnsi="Helvetica" w:cs="Helvetica"/>
          <w:color w:val="333333"/>
          <w:sz w:val="21"/>
          <w:szCs w:val="21"/>
          <w:lang w:eastAsia="it-IT"/>
        </w:rPr>
      </w:pPr>
      <w:r w:rsidRPr="00AD4BFB">
        <w:rPr>
          <w:rFonts w:ascii="Helvetica" w:eastAsia="Times New Roman" w:hAnsi="Helvetica" w:cs="Helvetica"/>
          <w:color w:val="333333"/>
          <w:sz w:val="21"/>
          <w:szCs w:val="21"/>
          <w:lang w:eastAsia="it-IT"/>
        </w:rPr>
        <w:t>Pertanto la formula di calcolo finale del CANONE OGGETTIVO è la seguente:</w:t>
      </w:r>
    </w:p>
    <w:p w:rsidR="00AD4BFB" w:rsidRPr="00AD4BFB" w:rsidRDefault="00AD4BFB" w:rsidP="00AD4BFB">
      <w:pPr>
        <w:spacing w:after="0" w:line="240" w:lineRule="auto"/>
        <w:rPr>
          <w:rFonts w:ascii="Helvetica" w:eastAsia="Times New Roman" w:hAnsi="Helvetica" w:cs="Helvetica"/>
          <w:color w:val="333333"/>
          <w:sz w:val="21"/>
          <w:szCs w:val="21"/>
          <w:lang w:eastAsia="it-IT"/>
        </w:rPr>
      </w:pPr>
    </w:p>
    <w:p w:rsidR="00AD4BFB" w:rsidRPr="00AD4BFB" w:rsidRDefault="00AD4BFB" w:rsidP="00AD4BFB">
      <w:pPr>
        <w:spacing w:after="150" w:line="240" w:lineRule="auto"/>
        <w:rPr>
          <w:rFonts w:ascii="Helvetica" w:eastAsia="Times New Roman" w:hAnsi="Helvetica" w:cs="Helvetica"/>
          <w:color w:val="333333"/>
          <w:sz w:val="21"/>
          <w:szCs w:val="21"/>
          <w:lang w:eastAsia="it-IT"/>
        </w:rPr>
      </w:pPr>
      <w:r w:rsidRPr="00AD4BFB">
        <w:rPr>
          <w:rFonts w:ascii="Helvetica" w:eastAsia="Times New Roman" w:hAnsi="Helvetica" w:cs="Helvetica"/>
          <w:b/>
          <w:bCs/>
          <w:color w:val="333333"/>
          <w:sz w:val="21"/>
          <w:szCs w:val="21"/>
          <w:lang w:eastAsia="it-IT"/>
        </w:rPr>
        <w:t>CANONE MENSILE OGGETTIVO PARAMETRIZZATO = [Costo unitario x Superficie Convenzionale x (Coefficiente di abbattimento/12) x ISTAT complessivo)] x percentuale E.Q della fascia dell’Assegnatario</w:t>
      </w:r>
    </w:p>
    <w:p w:rsidR="00AD4BFB" w:rsidRPr="00AD4BFB" w:rsidRDefault="00AD4BFB" w:rsidP="00AD4BFB">
      <w:pPr>
        <w:spacing w:after="0" w:line="240" w:lineRule="auto"/>
        <w:rPr>
          <w:rFonts w:ascii="Helvetica" w:eastAsia="Times New Roman" w:hAnsi="Helvetica" w:cs="Helvetica"/>
          <w:color w:val="333333"/>
          <w:sz w:val="21"/>
          <w:szCs w:val="21"/>
          <w:lang w:eastAsia="it-IT"/>
        </w:rPr>
      </w:pPr>
      <w:r w:rsidRPr="00AD4BFB">
        <w:rPr>
          <w:rFonts w:ascii="Helvetica" w:eastAsia="Times New Roman" w:hAnsi="Helvetica" w:cs="Helvetica"/>
          <w:color w:val="333333"/>
          <w:sz w:val="21"/>
          <w:szCs w:val="21"/>
          <w:lang w:eastAsia="it-IT"/>
        </w:rPr>
        <w:br/>
      </w:r>
      <w:r w:rsidRPr="00AD4BFB">
        <w:rPr>
          <w:rFonts w:ascii="Helvetica" w:eastAsia="Times New Roman" w:hAnsi="Helvetica" w:cs="Helvetica"/>
          <w:b/>
          <w:bCs/>
          <w:color w:val="333333"/>
          <w:sz w:val="21"/>
          <w:szCs w:val="21"/>
          <w:lang w:eastAsia="it-IT"/>
        </w:rPr>
        <w:t>DETERMINAZIONE FASCIA</w:t>
      </w:r>
      <w:r w:rsidRPr="00AD4BFB">
        <w:rPr>
          <w:rFonts w:ascii="Helvetica" w:eastAsia="Times New Roman" w:hAnsi="Helvetica" w:cs="Helvetica"/>
          <w:color w:val="333333"/>
          <w:sz w:val="21"/>
          <w:szCs w:val="21"/>
          <w:lang w:eastAsia="it-IT"/>
        </w:rPr>
        <w:t xml:space="preserve"> </w:t>
      </w:r>
    </w:p>
    <w:p w:rsidR="00AD4BFB" w:rsidRPr="00AD4BFB" w:rsidRDefault="00AD4BFB" w:rsidP="00AD4BFB">
      <w:pPr>
        <w:spacing w:after="150" w:line="240" w:lineRule="auto"/>
        <w:rPr>
          <w:rFonts w:ascii="Helvetica" w:eastAsia="Times New Roman" w:hAnsi="Helvetica" w:cs="Helvetica"/>
          <w:color w:val="333333"/>
          <w:sz w:val="21"/>
          <w:szCs w:val="21"/>
          <w:lang w:eastAsia="it-IT"/>
        </w:rPr>
      </w:pPr>
      <w:r w:rsidRPr="00AD4BFB">
        <w:rPr>
          <w:rFonts w:ascii="Helvetica" w:eastAsia="Times New Roman" w:hAnsi="Helvetica" w:cs="Helvetica"/>
          <w:color w:val="333333"/>
          <w:sz w:val="21"/>
          <w:szCs w:val="21"/>
          <w:lang w:eastAsia="it-IT"/>
        </w:rPr>
        <w:t xml:space="preserve">La fascia viene determinata utilizzando il </w:t>
      </w:r>
      <w:r w:rsidRPr="00AD4BFB">
        <w:rPr>
          <w:rFonts w:ascii="Helvetica" w:eastAsia="Times New Roman" w:hAnsi="Helvetica" w:cs="Helvetica"/>
          <w:b/>
          <w:bCs/>
          <w:color w:val="333333"/>
          <w:sz w:val="21"/>
          <w:szCs w:val="21"/>
          <w:lang w:eastAsia="it-IT"/>
        </w:rPr>
        <w:t>reddito convenzionale</w:t>
      </w:r>
      <w:r w:rsidRPr="00AD4BFB">
        <w:rPr>
          <w:rFonts w:ascii="Helvetica" w:eastAsia="Times New Roman" w:hAnsi="Helvetica" w:cs="Helvetica"/>
          <w:color w:val="333333"/>
          <w:sz w:val="21"/>
          <w:szCs w:val="21"/>
          <w:lang w:eastAsia="it-IT"/>
        </w:rPr>
        <w:t xml:space="preserve"> con un'unica eccezione per la fascia A, il cui canone è fisso (€ 7,75). Per individuare la fascia di reddito in cui collocare l’assegnatario, il reddito convenzionale deve essere confrontato con i limiti riportati nella </w:t>
      </w:r>
      <w:hyperlink r:id="rId7" w:history="1">
        <w:r w:rsidRPr="00AD4BFB">
          <w:rPr>
            <w:rFonts w:ascii="Helvetica" w:eastAsia="Times New Roman" w:hAnsi="Helvetica" w:cs="Helvetica"/>
            <w:color w:val="337AB7"/>
            <w:sz w:val="21"/>
            <w:szCs w:val="21"/>
            <w:lang w:eastAsia="it-IT"/>
          </w:rPr>
          <w:t>Tabella delle Fasce</w:t>
        </w:r>
      </w:hyperlink>
      <w:r w:rsidRPr="00AD4BFB">
        <w:rPr>
          <w:rFonts w:ascii="Helvetica" w:eastAsia="Times New Roman" w:hAnsi="Helvetica" w:cs="Helvetica"/>
          <w:color w:val="333333"/>
          <w:sz w:val="21"/>
          <w:szCs w:val="21"/>
          <w:lang w:eastAsia="it-IT"/>
        </w:rPr>
        <w:t xml:space="preserve"> definita dalla legge regionale 10/2001 e modificata dalla L.R.27/2006.</w:t>
      </w:r>
    </w:p>
    <w:p w:rsidR="00AD4BFB" w:rsidRPr="00AD4BFB" w:rsidRDefault="00AD4BFB" w:rsidP="00AD4BFB">
      <w:pPr>
        <w:spacing w:after="150" w:line="240" w:lineRule="auto"/>
        <w:rPr>
          <w:rFonts w:ascii="Helvetica" w:eastAsia="Times New Roman" w:hAnsi="Helvetica" w:cs="Helvetica"/>
          <w:color w:val="333333"/>
          <w:sz w:val="21"/>
          <w:szCs w:val="21"/>
          <w:lang w:eastAsia="it-IT"/>
        </w:rPr>
      </w:pPr>
      <w:r w:rsidRPr="00AD4BFB">
        <w:rPr>
          <w:rFonts w:ascii="Helvetica" w:eastAsia="Times New Roman" w:hAnsi="Helvetica" w:cs="Helvetica"/>
          <w:color w:val="333333"/>
          <w:sz w:val="21"/>
          <w:szCs w:val="21"/>
          <w:lang w:eastAsia="it-IT"/>
        </w:rPr>
        <w:t>Qualora del nucleo facciano parte componenti diversamente abili, purché con disabilità superiore al 66%, la fascia attribuita è quella relativa alla classe massima della fascia immediatamente inferiore, con l’eccezione della fascia B per cui la fascia attribuita non può essere inferiore alla fascia B1, in quanto la fascia A è riservata solo a particolari categorie di reddito.</w:t>
      </w:r>
    </w:p>
    <w:p w:rsidR="00AD4BFB" w:rsidRPr="00AD4BFB" w:rsidRDefault="00AD4BFB" w:rsidP="00AD4BFB">
      <w:pPr>
        <w:spacing w:after="0" w:line="240" w:lineRule="auto"/>
        <w:rPr>
          <w:rFonts w:ascii="Helvetica" w:eastAsia="Times New Roman" w:hAnsi="Helvetica" w:cs="Helvetica"/>
          <w:color w:val="333333"/>
          <w:sz w:val="21"/>
          <w:szCs w:val="21"/>
          <w:lang w:eastAsia="it-IT"/>
        </w:rPr>
      </w:pPr>
    </w:p>
    <w:p w:rsidR="00AD4BFB" w:rsidRPr="00AD4BFB" w:rsidRDefault="00AD4BFB" w:rsidP="00AD4BFB">
      <w:pPr>
        <w:spacing w:after="150" w:line="240" w:lineRule="auto"/>
        <w:rPr>
          <w:rFonts w:ascii="Helvetica" w:eastAsia="Times New Roman" w:hAnsi="Helvetica" w:cs="Helvetica"/>
          <w:color w:val="333333"/>
          <w:sz w:val="21"/>
          <w:szCs w:val="21"/>
          <w:lang w:eastAsia="it-IT"/>
        </w:rPr>
      </w:pPr>
      <w:r w:rsidRPr="00AD4BFB">
        <w:rPr>
          <w:rFonts w:ascii="Helvetica" w:eastAsia="Times New Roman" w:hAnsi="Helvetica" w:cs="Helvetica"/>
          <w:color w:val="333333"/>
          <w:sz w:val="21"/>
          <w:szCs w:val="21"/>
          <w:lang w:eastAsia="it-IT"/>
        </w:rPr>
        <w:t xml:space="preserve">La </w:t>
      </w:r>
      <w:r w:rsidRPr="00AD4BFB">
        <w:rPr>
          <w:rFonts w:ascii="Helvetica" w:eastAsia="Times New Roman" w:hAnsi="Helvetica" w:cs="Helvetica"/>
          <w:b/>
          <w:bCs/>
          <w:color w:val="333333"/>
          <w:sz w:val="21"/>
          <w:szCs w:val="21"/>
          <w:lang w:eastAsia="it-IT"/>
        </w:rPr>
        <w:t>Fascia A</w:t>
      </w:r>
      <w:r w:rsidRPr="00AD4BFB">
        <w:rPr>
          <w:rFonts w:ascii="Helvetica" w:eastAsia="Times New Roman" w:hAnsi="Helvetica" w:cs="Helvetica"/>
          <w:color w:val="333333"/>
          <w:sz w:val="21"/>
          <w:szCs w:val="21"/>
          <w:lang w:eastAsia="it-IT"/>
        </w:rPr>
        <w:t xml:space="preserve"> è riservata:</w:t>
      </w:r>
    </w:p>
    <w:p w:rsidR="00AD4BFB" w:rsidRPr="00AD4BFB" w:rsidRDefault="00AD4BFB" w:rsidP="00AD4BFB">
      <w:pPr>
        <w:numPr>
          <w:ilvl w:val="0"/>
          <w:numId w:val="3"/>
        </w:numPr>
        <w:spacing w:before="100" w:beforeAutospacing="1" w:after="100" w:afterAutospacing="1" w:line="240" w:lineRule="auto"/>
        <w:ind w:left="495"/>
        <w:rPr>
          <w:rFonts w:ascii="Helvetica" w:eastAsia="Times New Roman" w:hAnsi="Helvetica" w:cs="Helvetica"/>
          <w:color w:val="333333"/>
          <w:sz w:val="21"/>
          <w:szCs w:val="21"/>
          <w:lang w:eastAsia="it-IT"/>
        </w:rPr>
      </w:pPr>
      <w:r w:rsidRPr="00AD4BFB">
        <w:rPr>
          <w:rFonts w:ascii="Helvetica" w:eastAsia="Times New Roman" w:hAnsi="Helvetica" w:cs="Helvetica"/>
          <w:color w:val="333333"/>
          <w:sz w:val="21"/>
          <w:szCs w:val="21"/>
          <w:lang w:eastAsia="it-IT"/>
        </w:rPr>
        <w:t xml:space="preserve">a) agli </w:t>
      </w:r>
      <w:r w:rsidRPr="00AD4BFB">
        <w:rPr>
          <w:rFonts w:ascii="Helvetica" w:eastAsia="Times New Roman" w:hAnsi="Helvetica" w:cs="Helvetica"/>
          <w:b/>
          <w:bCs/>
          <w:color w:val="333333"/>
          <w:sz w:val="21"/>
          <w:szCs w:val="21"/>
          <w:lang w:eastAsia="it-IT"/>
        </w:rPr>
        <w:t>assegnatari</w:t>
      </w:r>
      <w:r w:rsidRPr="00AD4BFB">
        <w:rPr>
          <w:rFonts w:ascii="Helvetica" w:eastAsia="Times New Roman" w:hAnsi="Helvetica" w:cs="Helvetica"/>
          <w:color w:val="333333"/>
          <w:sz w:val="21"/>
          <w:szCs w:val="21"/>
          <w:lang w:eastAsia="it-IT"/>
        </w:rPr>
        <w:t xml:space="preserve"> che hanno solo redditi da pensione </w:t>
      </w:r>
      <w:r w:rsidRPr="00AD4BFB">
        <w:rPr>
          <w:rFonts w:ascii="Helvetica" w:eastAsia="Times New Roman" w:hAnsi="Helvetica" w:cs="Helvetica"/>
          <w:b/>
          <w:bCs/>
          <w:color w:val="333333"/>
          <w:sz w:val="21"/>
          <w:szCs w:val="21"/>
          <w:lang w:eastAsia="it-IT"/>
        </w:rPr>
        <w:t>di importo lordo</w:t>
      </w:r>
      <w:r w:rsidRPr="00AD4BFB">
        <w:rPr>
          <w:rFonts w:ascii="Helvetica" w:eastAsia="Times New Roman" w:hAnsi="Helvetica" w:cs="Helvetica"/>
          <w:color w:val="333333"/>
          <w:sz w:val="21"/>
          <w:szCs w:val="21"/>
          <w:lang w:eastAsia="it-IT"/>
        </w:rPr>
        <w:t xml:space="preserve"> pari o inferiore </w:t>
      </w:r>
      <w:r w:rsidRPr="00AD4BFB">
        <w:rPr>
          <w:rFonts w:ascii="Helvetica" w:eastAsia="Times New Roman" w:hAnsi="Helvetica" w:cs="Helvetica"/>
          <w:color w:val="333333"/>
          <w:sz w:val="21"/>
          <w:szCs w:val="21"/>
          <w:u w:val="single"/>
          <w:lang w:eastAsia="it-IT"/>
        </w:rPr>
        <w:t>alla pensione minima INPS</w:t>
      </w:r>
      <w:r w:rsidRPr="00AD4BFB">
        <w:rPr>
          <w:rFonts w:ascii="Helvetica" w:eastAsia="Times New Roman" w:hAnsi="Helvetica" w:cs="Helvetica"/>
          <w:color w:val="333333"/>
          <w:sz w:val="21"/>
          <w:szCs w:val="21"/>
          <w:lang w:eastAsia="it-IT"/>
        </w:rPr>
        <w:t xml:space="preserve"> erogata nell’anno del reddito</w:t>
      </w:r>
    </w:p>
    <w:p w:rsidR="00AD4BFB" w:rsidRPr="00AD4BFB" w:rsidRDefault="00AD4BFB" w:rsidP="00AD4BFB">
      <w:pPr>
        <w:numPr>
          <w:ilvl w:val="0"/>
          <w:numId w:val="3"/>
        </w:numPr>
        <w:spacing w:before="100" w:beforeAutospacing="1" w:after="100" w:afterAutospacing="1" w:line="240" w:lineRule="auto"/>
        <w:ind w:left="495"/>
        <w:rPr>
          <w:rFonts w:ascii="Helvetica" w:eastAsia="Times New Roman" w:hAnsi="Helvetica" w:cs="Helvetica"/>
          <w:color w:val="333333"/>
          <w:sz w:val="21"/>
          <w:szCs w:val="21"/>
          <w:lang w:eastAsia="it-IT"/>
        </w:rPr>
      </w:pPr>
      <w:r w:rsidRPr="00AD4BFB">
        <w:rPr>
          <w:rFonts w:ascii="Helvetica" w:eastAsia="Times New Roman" w:hAnsi="Helvetica" w:cs="Helvetica"/>
          <w:color w:val="333333"/>
          <w:sz w:val="21"/>
          <w:szCs w:val="21"/>
          <w:lang w:eastAsia="it-IT"/>
        </w:rPr>
        <w:t>b) all’</w:t>
      </w:r>
      <w:r w:rsidRPr="00AD4BFB">
        <w:rPr>
          <w:rFonts w:ascii="Helvetica" w:eastAsia="Times New Roman" w:hAnsi="Helvetica" w:cs="Helvetica"/>
          <w:b/>
          <w:bCs/>
          <w:color w:val="333333"/>
          <w:sz w:val="21"/>
          <w:szCs w:val="21"/>
          <w:lang w:eastAsia="it-IT"/>
        </w:rPr>
        <w:t>assegnatario</w:t>
      </w:r>
      <w:r w:rsidRPr="00AD4BFB">
        <w:rPr>
          <w:rFonts w:ascii="Helvetica" w:eastAsia="Times New Roman" w:hAnsi="Helvetica" w:cs="Helvetica"/>
          <w:color w:val="333333"/>
          <w:sz w:val="21"/>
          <w:szCs w:val="21"/>
          <w:lang w:eastAsia="it-IT"/>
        </w:rPr>
        <w:t xml:space="preserve"> capofamiglia, </w:t>
      </w:r>
      <w:r w:rsidRPr="00AD4BFB">
        <w:rPr>
          <w:rFonts w:ascii="Helvetica" w:eastAsia="Times New Roman" w:hAnsi="Helvetica" w:cs="Helvetica"/>
          <w:b/>
          <w:bCs/>
          <w:color w:val="333333"/>
          <w:sz w:val="21"/>
          <w:szCs w:val="21"/>
          <w:lang w:eastAsia="it-IT"/>
        </w:rPr>
        <w:t>totalmente inabile al lavoro</w:t>
      </w:r>
      <w:r w:rsidRPr="00AD4BFB">
        <w:rPr>
          <w:rFonts w:ascii="Helvetica" w:eastAsia="Times New Roman" w:hAnsi="Helvetica" w:cs="Helvetica"/>
          <w:color w:val="333333"/>
          <w:sz w:val="21"/>
          <w:szCs w:val="21"/>
          <w:lang w:eastAsia="it-IT"/>
        </w:rPr>
        <w:t xml:space="preserve"> comprovato da certificazione emessa dalle preposte strutture sanitarie, unico possibile produttore di reddito </w:t>
      </w:r>
    </w:p>
    <w:p w:rsidR="00AD4BFB" w:rsidRPr="00AD4BFB" w:rsidRDefault="00AD4BFB" w:rsidP="00AD4BFB">
      <w:pPr>
        <w:numPr>
          <w:ilvl w:val="0"/>
          <w:numId w:val="3"/>
        </w:numPr>
        <w:spacing w:before="100" w:beforeAutospacing="1" w:after="100" w:afterAutospacing="1" w:line="240" w:lineRule="auto"/>
        <w:ind w:left="495"/>
        <w:rPr>
          <w:rFonts w:ascii="Helvetica" w:eastAsia="Times New Roman" w:hAnsi="Helvetica" w:cs="Helvetica"/>
          <w:color w:val="333333"/>
          <w:sz w:val="21"/>
          <w:szCs w:val="21"/>
          <w:lang w:eastAsia="it-IT"/>
        </w:rPr>
      </w:pPr>
      <w:r w:rsidRPr="00AD4BFB">
        <w:rPr>
          <w:rFonts w:ascii="Helvetica" w:eastAsia="Times New Roman" w:hAnsi="Helvetica" w:cs="Helvetica"/>
          <w:color w:val="333333"/>
          <w:sz w:val="21"/>
          <w:szCs w:val="21"/>
          <w:lang w:eastAsia="it-IT"/>
        </w:rPr>
        <w:t xml:space="preserve">c) ai nuclei familiari con tutti i componenti </w:t>
      </w:r>
      <w:r w:rsidRPr="00AD4BFB">
        <w:rPr>
          <w:rFonts w:ascii="Helvetica" w:eastAsia="Times New Roman" w:hAnsi="Helvetica" w:cs="Helvetica"/>
          <w:b/>
          <w:bCs/>
          <w:color w:val="333333"/>
          <w:sz w:val="21"/>
          <w:szCs w:val="21"/>
          <w:lang w:eastAsia="it-IT"/>
        </w:rPr>
        <w:t>effettivamente disoccupati</w:t>
      </w:r>
      <w:r w:rsidRPr="00AD4BFB">
        <w:rPr>
          <w:rFonts w:ascii="Helvetica" w:eastAsia="Times New Roman" w:hAnsi="Helvetica" w:cs="Helvetica"/>
          <w:color w:val="333333"/>
          <w:sz w:val="21"/>
          <w:szCs w:val="21"/>
          <w:lang w:eastAsia="it-IT"/>
        </w:rPr>
        <w:t>.</w:t>
      </w:r>
    </w:p>
    <w:p w:rsidR="00AD4BFB" w:rsidRPr="00AD4BFB" w:rsidRDefault="00AD4BFB" w:rsidP="00AD4BFB">
      <w:pPr>
        <w:spacing w:after="0" w:line="240" w:lineRule="auto"/>
        <w:rPr>
          <w:rFonts w:ascii="Helvetica" w:eastAsia="Times New Roman" w:hAnsi="Helvetica" w:cs="Helvetica"/>
          <w:color w:val="333333"/>
          <w:sz w:val="21"/>
          <w:szCs w:val="21"/>
          <w:lang w:eastAsia="it-IT"/>
        </w:rPr>
      </w:pPr>
    </w:p>
    <w:p w:rsidR="00AD4BFB" w:rsidRPr="00AD4BFB" w:rsidRDefault="00AD4BFB" w:rsidP="00AD4BFB">
      <w:pPr>
        <w:spacing w:after="150" w:line="240" w:lineRule="auto"/>
        <w:rPr>
          <w:rFonts w:ascii="Helvetica" w:eastAsia="Times New Roman" w:hAnsi="Helvetica" w:cs="Helvetica"/>
          <w:color w:val="333333"/>
          <w:sz w:val="21"/>
          <w:szCs w:val="21"/>
          <w:lang w:eastAsia="it-IT"/>
        </w:rPr>
      </w:pPr>
      <w:r w:rsidRPr="00AD4BFB">
        <w:rPr>
          <w:rFonts w:ascii="Helvetica" w:eastAsia="Times New Roman" w:hAnsi="Helvetica" w:cs="Helvetica"/>
          <w:color w:val="333333"/>
          <w:sz w:val="21"/>
          <w:szCs w:val="21"/>
          <w:lang w:eastAsia="it-IT"/>
        </w:rPr>
        <w:t xml:space="preserve">La </w:t>
      </w:r>
      <w:r w:rsidRPr="00AD4BFB">
        <w:rPr>
          <w:rFonts w:ascii="Helvetica" w:eastAsia="Times New Roman" w:hAnsi="Helvetica" w:cs="Helvetica"/>
          <w:b/>
          <w:bCs/>
          <w:color w:val="333333"/>
          <w:sz w:val="21"/>
          <w:szCs w:val="21"/>
          <w:lang w:eastAsia="it-IT"/>
        </w:rPr>
        <w:t>Fascia B</w:t>
      </w:r>
      <w:r w:rsidRPr="00AD4BFB">
        <w:rPr>
          <w:rFonts w:ascii="Helvetica" w:eastAsia="Times New Roman" w:hAnsi="Helvetica" w:cs="Helvetica"/>
          <w:color w:val="333333"/>
          <w:sz w:val="21"/>
          <w:szCs w:val="21"/>
          <w:lang w:eastAsia="it-IT"/>
        </w:rPr>
        <w:t xml:space="preserve"> è riservata:</w:t>
      </w:r>
    </w:p>
    <w:p w:rsidR="00AD4BFB" w:rsidRPr="00AD4BFB" w:rsidRDefault="00AD4BFB" w:rsidP="00AD4BFB">
      <w:pPr>
        <w:numPr>
          <w:ilvl w:val="0"/>
          <w:numId w:val="4"/>
        </w:numPr>
        <w:spacing w:before="100" w:beforeAutospacing="1" w:after="100" w:afterAutospacing="1" w:line="240" w:lineRule="auto"/>
        <w:ind w:left="495"/>
        <w:rPr>
          <w:rFonts w:ascii="Helvetica" w:eastAsia="Times New Roman" w:hAnsi="Helvetica" w:cs="Helvetica"/>
          <w:color w:val="333333"/>
          <w:sz w:val="21"/>
          <w:szCs w:val="21"/>
          <w:lang w:eastAsia="it-IT"/>
        </w:rPr>
      </w:pPr>
      <w:r w:rsidRPr="00AD4BFB">
        <w:rPr>
          <w:rFonts w:ascii="Helvetica" w:eastAsia="Times New Roman" w:hAnsi="Helvetica" w:cs="Helvetica"/>
          <w:color w:val="333333"/>
          <w:sz w:val="21"/>
          <w:szCs w:val="21"/>
          <w:lang w:eastAsia="it-IT"/>
        </w:rPr>
        <w:t xml:space="preserve">a) ai redditi da lavoro dipendente </w:t>
      </w:r>
    </w:p>
    <w:p w:rsidR="00AD4BFB" w:rsidRPr="00AD4BFB" w:rsidRDefault="00AD4BFB" w:rsidP="00AD4BFB">
      <w:pPr>
        <w:numPr>
          <w:ilvl w:val="0"/>
          <w:numId w:val="4"/>
        </w:numPr>
        <w:spacing w:before="100" w:beforeAutospacing="1" w:after="100" w:afterAutospacing="1" w:line="240" w:lineRule="auto"/>
        <w:ind w:left="495"/>
        <w:rPr>
          <w:rFonts w:ascii="Helvetica" w:eastAsia="Times New Roman" w:hAnsi="Helvetica" w:cs="Helvetica"/>
          <w:color w:val="333333"/>
          <w:sz w:val="21"/>
          <w:szCs w:val="21"/>
          <w:lang w:eastAsia="it-IT"/>
        </w:rPr>
      </w:pPr>
      <w:r w:rsidRPr="00AD4BFB">
        <w:rPr>
          <w:rFonts w:ascii="Helvetica" w:eastAsia="Times New Roman" w:hAnsi="Helvetica" w:cs="Helvetica"/>
          <w:color w:val="333333"/>
          <w:sz w:val="21"/>
          <w:szCs w:val="21"/>
          <w:lang w:eastAsia="it-IT"/>
        </w:rPr>
        <w:t>b) ai redditi da pensione</w:t>
      </w:r>
    </w:p>
    <w:p w:rsidR="00AD4BFB" w:rsidRPr="00AD4BFB" w:rsidRDefault="00AD4BFB" w:rsidP="00AD4BFB">
      <w:pPr>
        <w:numPr>
          <w:ilvl w:val="0"/>
          <w:numId w:val="4"/>
        </w:numPr>
        <w:spacing w:before="100" w:beforeAutospacing="1" w:after="100" w:afterAutospacing="1" w:line="240" w:lineRule="auto"/>
        <w:ind w:left="495"/>
        <w:rPr>
          <w:rFonts w:ascii="Helvetica" w:eastAsia="Times New Roman" w:hAnsi="Helvetica" w:cs="Helvetica"/>
          <w:color w:val="333333"/>
          <w:sz w:val="21"/>
          <w:szCs w:val="21"/>
          <w:lang w:eastAsia="it-IT"/>
        </w:rPr>
      </w:pPr>
      <w:r w:rsidRPr="00AD4BFB">
        <w:rPr>
          <w:rFonts w:ascii="Helvetica" w:eastAsia="Times New Roman" w:hAnsi="Helvetica" w:cs="Helvetica"/>
          <w:color w:val="333333"/>
          <w:sz w:val="21"/>
          <w:szCs w:val="21"/>
          <w:lang w:eastAsia="it-IT"/>
        </w:rPr>
        <w:lastRenderedPageBreak/>
        <w:t>c) ai redditi prodotti e percepiti ai seguenti titoli: trattamento di cassaintegrazione, indennità di mobilità, indennità di disoccupazione, sussidi assistenziali e assegno di mantenimento percepito dal coniuge separato o divorziato</w:t>
      </w:r>
    </w:p>
    <w:p w:rsidR="00AD4BFB" w:rsidRPr="00AD4BFB" w:rsidRDefault="00AD4BFB" w:rsidP="00AD4BFB">
      <w:pPr>
        <w:spacing w:after="0" w:line="240" w:lineRule="auto"/>
        <w:rPr>
          <w:rFonts w:ascii="Helvetica" w:eastAsia="Times New Roman" w:hAnsi="Helvetica" w:cs="Helvetica"/>
          <w:color w:val="333333"/>
          <w:sz w:val="21"/>
          <w:szCs w:val="21"/>
          <w:lang w:eastAsia="it-IT"/>
        </w:rPr>
      </w:pPr>
    </w:p>
    <w:p w:rsidR="00AD4BFB" w:rsidRPr="00AD4BFB" w:rsidRDefault="00AD4BFB" w:rsidP="00AD4BFB">
      <w:pPr>
        <w:spacing w:after="150" w:line="240" w:lineRule="auto"/>
        <w:rPr>
          <w:rFonts w:ascii="Helvetica" w:eastAsia="Times New Roman" w:hAnsi="Helvetica" w:cs="Helvetica"/>
          <w:color w:val="333333"/>
          <w:sz w:val="21"/>
          <w:szCs w:val="21"/>
          <w:lang w:eastAsia="it-IT"/>
        </w:rPr>
      </w:pPr>
      <w:r w:rsidRPr="00AD4BFB">
        <w:rPr>
          <w:rFonts w:ascii="Helvetica" w:eastAsia="Times New Roman" w:hAnsi="Helvetica" w:cs="Helvetica"/>
          <w:color w:val="333333"/>
          <w:sz w:val="21"/>
          <w:szCs w:val="21"/>
          <w:lang w:eastAsia="it-IT"/>
        </w:rPr>
        <w:t xml:space="preserve">Le </w:t>
      </w:r>
      <w:r w:rsidRPr="00AD4BFB">
        <w:rPr>
          <w:rFonts w:ascii="Helvetica" w:eastAsia="Times New Roman" w:hAnsi="Helvetica" w:cs="Helvetica"/>
          <w:b/>
          <w:bCs/>
          <w:color w:val="333333"/>
          <w:sz w:val="21"/>
          <w:szCs w:val="21"/>
          <w:lang w:eastAsia="it-IT"/>
        </w:rPr>
        <w:t>Fasce C, D, E</w:t>
      </w:r>
      <w:r w:rsidRPr="00AD4BFB">
        <w:rPr>
          <w:rFonts w:ascii="Helvetica" w:eastAsia="Times New Roman" w:hAnsi="Helvetica" w:cs="Helvetica"/>
          <w:color w:val="333333"/>
          <w:sz w:val="21"/>
          <w:szCs w:val="21"/>
          <w:lang w:eastAsia="it-IT"/>
        </w:rPr>
        <w:t xml:space="preserve"> sono attribuite per tutti gli altri tipi di reddito.</w:t>
      </w:r>
    </w:p>
    <w:p w:rsidR="00AD4BFB" w:rsidRPr="00AD4BFB" w:rsidRDefault="00AD4BFB" w:rsidP="00AD4BFB">
      <w:pPr>
        <w:spacing w:after="150" w:line="240" w:lineRule="auto"/>
        <w:rPr>
          <w:rFonts w:ascii="Helvetica" w:eastAsia="Times New Roman" w:hAnsi="Helvetica" w:cs="Helvetica"/>
          <w:color w:val="333333"/>
          <w:sz w:val="21"/>
          <w:szCs w:val="21"/>
          <w:lang w:eastAsia="it-IT"/>
        </w:rPr>
      </w:pPr>
      <w:r w:rsidRPr="00AD4BFB">
        <w:rPr>
          <w:rFonts w:ascii="Helvetica" w:eastAsia="Times New Roman" w:hAnsi="Helvetica" w:cs="Helvetica"/>
          <w:color w:val="333333"/>
          <w:sz w:val="21"/>
          <w:szCs w:val="21"/>
          <w:lang w:eastAsia="it-IT"/>
        </w:rPr>
        <w:t xml:space="preserve">Per le </w:t>
      </w:r>
      <w:proofErr w:type="spellStart"/>
      <w:r w:rsidRPr="00AD4BFB">
        <w:rPr>
          <w:rFonts w:ascii="Helvetica" w:eastAsia="Times New Roman" w:hAnsi="Helvetica" w:cs="Helvetica"/>
          <w:color w:val="333333"/>
          <w:sz w:val="21"/>
          <w:szCs w:val="21"/>
          <w:lang w:eastAsia="it-IT"/>
        </w:rPr>
        <w:t>fasce</w:t>
      </w:r>
      <w:r w:rsidRPr="00AD4BFB">
        <w:rPr>
          <w:rFonts w:ascii="Helvetica" w:eastAsia="Times New Roman" w:hAnsi="Helvetica" w:cs="Helvetica"/>
          <w:b/>
          <w:bCs/>
          <w:color w:val="333333"/>
          <w:sz w:val="21"/>
          <w:szCs w:val="21"/>
          <w:lang w:eastAsia="it-IT"/>
        </w:rPr>
        <w:t>F</w:t>
      </w:r>
      <w:proofErr w:type="spellEnd"/>
      <w:r w:rsidRPr="00AD4BFB">
        <w:rPr>
          <w:rFonts w:ascii="Helvetica" w:eastAsia="Times New Roman" w:hAnsi="Helvetica" w:cs="Helvetica"/>
          <w:color w:val="333333"/>
          <w:sz w:val="21"/>
          <w:szCs w:val="21"/>
          <w:lang w:eastAsia="it-IT"/>
        </w:rPr>
        <w:t xml:space="preserve"> e </w:t>
      </w:r>
      <w:r w:rsidRPr="00AD4BFB">
        <w:rPr>
          <w:rFonts w:ascii="Helvetica" w:eastAsia="Times New Roman" w:hAnsi="Helvetica" w:cs="Helvetica"/>
          <w:b/>
          <w:bCs/>
          <w:color w:val="333333"/>
          <w:sz w:val="21"/>
          <w:szCs w:val="21"/>
          <w:lang w:eastAsia="it-IT"/>
        </w:rPr>
        <w:t>G</w:t>
      </w:r>
      <w:r w:rsidRPr="00AD4BFB">
        <w:rPr>
          <w:rFonts w:ascii="Helvetica" w:eastAsia="Times New Roman" w:hAnsi="Helvetica" w:cs="Helvetica"/>
          <w:color w:val="333333"/>
          <w:sz w:val="21"/>
          <w:szCs w:val="21"/>
          <w:lang w:eastAsia="it-IT"/>
        </w:rPr>
        <w:t>, la cui somma dei redditi lordi è maggiore a € 31.503,49, il canone soggettivo va maggiorato dello 1% per ogni 2.582,29 € a partire dal suddetto massimale.</w:t>
      </w:r>
    </w:p>
    <w:p w:rsidR="00AD4BFB" w:rsidRPr="00AD4BFB" w:rsidRDefault="00AD4BFB" w:rsidP="00AD4BFB">
      <w:pPr>
        <w:spacing w:after="0" w:line="240" w:lineRule="auto"/>
        <w:rPr>
          <w:rFonts w:ascii="Helvetica" w:eastAsia="Times New Roman" w:hAnsi="Helvetica" w:cs="Helvetica"/>
          <w:color w:val="333333"/>
          <w:sz w:val="21"/>
          <w:szCs w:val="21"/>
          <w:lang w:eastAsia="it-IT"/>
        </w:rPr>
      </w:pPr>
      <w:r w:rsidRPr="00AD4BFB">
        <w:rPr>
          <w:rFonts w:ascii="Helvetica" w:eastAsia="Times New Roman" w:hAnsi="Helvetica" w:cs="Helvetica"/>
          <w:color w:val="333333"/>
          <w:sz w:val="21"/>
          <w:szCs w:val="21"/>
          <w:lang w:eastAsia="it-IT"/>
        </w:rPr>
        <w:br/>
      </w:r>
      <w:r w:rsidRPr="00AD4BFB">
        <w:rPr>
          <w:rFonts w:ascii="Helvetica" w:eastAsia="Times New Roman" w:hAnsi="Helvetica" w:cs="Helvetica"/>
          <w:b/>
          <w:bCs/>
          <w:color w:val="333333"/>
          <w:sz w:val="21"/>
          <w:szCs w:val="21"/>
          <w:lang w:eastAsia="it-IT"/>
        </w:rPr>
        <w:t>CALCOLO DEL CANONE DI LOCAZIONE</w:t>
      </w:r>
      <w:r w:rsidRPr="00AD4BFB">
        <w:rPr>
          <w:rFonts w:ascii="Helvetica" w:eastAsia="Times New Roman" w:hAnsi="Helvetica" w:cs="Helvetica"/>
          <w:color w:val="333333"/>
          <w:sz w:val="21"/>
          <w:szCs w:val="21"/>
          <w:lang w:eastAsia="it-IT"/>
        </w:rPr>
        <w:t xml:space="preserve"> </w:t>
      </w:r>
    </w:p>
    <w:p w:rsidR="00AD4BFB" w:rsidRPr="00AD4BFB" w:rsidRDefault="00AD4BFB" w:rsidP="00AD4BFB">
      <w:pPr>
        <w:spacing w:after="150" w:line="240" w:lineRule="auto"/>
        <w:rPr>
          <w:rFonts w:ascii="Helvetica" w:eastAsia="Times New Roman" w:hAnsi="Helvetica" w:cs="Helvetica"/>
          <w:color w:val="333333"/>
          <w:sz w:val="21"/>
          <w:szCs w:val="21"/>
          <w:lang w:eastAsia="it-IT"/>
        </w:rPr>
      </w:pPr>
      <w:r w:rsidRPr="00AD4BFB">
        <w:rPr>
          <w:rFonts w:ascii="Helvetica" w:eastAsia="Times New Roman" w:hAnsi="Helvetica" w:cs="Helvetica"/>
          <w:color w:val="333333"/>
          <w:sz w:val="21"/>
          <w:szCs w:val="21"/>
          <w:lang w:eastAsia="it-IT"/>
        </w:rPr>
        <w:t xml:space="preserve">Determinati il </w:t>
      </w:r>
      <w:r w:rsidRPr="00AD4BFB">
        <w:rPr>
          <w:rFonts w:ascii="Helvetica" w:eastAsia="Times New Roman" w:hAnsi="Helvetica" w:cs="Helvetica"/>
          <w:b/>
          <w:bCs/>
          <w:color w:val="333333"/>
          <w:sz w:val="21"/>
          <w:szCs w:val="21"/>
          <w:lang w:eastAsia="it-IT"/>
        </w:rPr>
        <w:t>canone oggettivo e soggettivo,</w:t>
      </w:r>
      <w:r w:rsidRPr="00AD4BFB">
        <w:rPr>
          <w:rFonts w:ascii="Helvetica" w:eastAsia="Times New Roman" w:hAnsi="Helvetica" w:cs="Helvetica"/>
          <w:color w:val="333333"/>
          <w:sz w:val="21"/>
          <w:szCs w:val="21"/>
          <w:lang w:eastAsia="it-IT"/>
        </w:rPr>
        <w:t xml:space="preserve"> come precedentemente descritto, si attribuiscono i coefficienti corrispondenti alla fascia di reddito del nucleo abitativo.</w:t>
      </w:r>
    </w:p>
    <w:p w:rsidR="00AD4BFB" w:rsidRPr="00AD4BFB" w:rsidRDefault="00AD4BFB" w:rsidP="00AD4BFB">
      <w:pPr>
        <w:spacing w:after="150" w:line="240" w:lineRule="auto"/>
        <w:rPr>
          <w:rFonts w:ascii="Helvetica" w:eastAsia="Times New Roman" w:hAnsi="Helvetica" w:cs="Helvetica"/>
          <w:color w:val="333333"/>
          <w:sz w:val="21"/>
          <w:szCs w:val="21"/>
          <w:lang w:eastAsia="it-IT"/>
        </w:rPr>
      </w:pPr>
      <w:r w:rsidRPr="00AD4BFB">
        <w:rPr>
          <w:rFonts w:ascii="Helvetica" w:eastAsia="Times New Roman" w:hAnsi="Helvetica" w:cs="Helvetica"/>
          <w:color w:val="333333"/>
          <w:sz w:val="21"/>
          <w:szCs w:val="21"/>
          <w:lang w:eastAsia="it-IT"/>
        </w:rPr>
        <w:t xml:space="preserve">Il CANONE DI LOCAZIONE applicato è determinato dall’importo minore tra i due </w:t>
      </w:r>
      <w:r w:rsidRPr="00AD4BFB">
        <w:rPr>
          <w:rFonts w:ascii="Helvetica" w:eastAsia="Times New Roman" w:hAnsi="Helvetica" w:cs="Helvetica"/>
          <w:b/>
          <w:bCs/>
          <w:color w:val="333333"/>
          <w:sz w:val="21"/>
          <w:szCs w:val="21"/>
          <w:lang w:eastAsia="it-IT"/>
        </w:rPr>
        <w:t>canoni oggettivo e soggettivo</w:t>
      </w:r>
      <w:r w:rsidRPr="00AD4BFB">
        <w:rPr>
          <w:rFonts w:ascii="Helvetica" w:eastAsia="Times New Roman" w:hAnsi="Helvetica" w:cs="Helvetica"/>
          <w:color w:val="333333"/>
          <w:sz w:val="21"/>
          <w:szCs w:val="21"/>
          <w:lang w:eastAsia="it-IT"/>
        </w:rPr>
        <w:t>.</w:t>
      </w:r>
    </w:p>
    <w:p w:rsidR="00AD4BFB" w:rsidRPr="00AD4BFB" w:rsidRDefault="00AD4BFB" w:rsidP="00AD4BFB">
      <w:pPr>
        <w:spacing w:after="0" w:line="240" w:lineRule="auto"/>
        <w:rPr>
          <w:rFonts w:ascii="Helvetica" w:eastAsia="Times New Roman" w:hAnsi="Helvetica" w:cs="Helvetica"/>
          <w:color w:val="333333"/>
          <w:sz w:val="21"/>
          <w:szCs w:val="21"/>
          <w:lang w:eastAsia="it-IT"/>
        </w:rPr>
      </w:pPr>
      <w:r w:rsidRPr="00AD4BFB">
        <w:rPr>
          <w:rFonts w:ascii="Helvetica" w:eastAsia="Times New Roman" w:hAnsi="Helvetica" w:cs="Helvetica"/>
          <w:color w:val="333333"/>
          <w:sz w:val="21"/>
          <w:szCs w:val="21"/>
          <w:lang w:eastAsia="it-IT"/>
        </w:rPr>
        <w:br/>
      </w:r>
      <w:r w:rsidRPr="00AD4BFB">
        <w:rPr>
          <w:rFonts w:ascii="Helvetica" w:eastAsia="Times New Roman" w:hAnsi="Helvetica" w:cs="Helvetica"/>
          <w:b/>
          <w:bCs/>
          <w:color w:val="333333"/>
          <w:sz w:val="21"/>
          <w:szCs w:val="21"/>
          <w:lang w:eastAsia="it-IT"/>
        </w:rPr>
        <w:t>CASI PARTICOLARI</w:t>
      </w:r>
      <w:r w:rsidRPr="00AD4BFB">
        <w:rPr>
          <w:rFonts w:ascii="Helvetica" w:eastAsia="Times New Roman" w:hAnsi="Helvetica" w:cs="Helvetica"/>
          <w:color w:val="333333"/>
          <w:sz w:val="21"/>
          <w:szCs w:val="21"/>
          <w:lang w:eastAsia="it-IT"/>
        </w:rPr>
        <w:t xml:space="preserve"> </w:t>
      </w:r>
    </w:p>
    <w:p w:rsidR="00AD4BFB" w:rsidRPr="00AD4BFB" w:rsidRDefault="00AD4BFB" w:rsidP="00AD4BFB">
      <w:pPr>
        <w:spacing w:after="150" w:line="240" w:lineRule="auto"/>
        <w:rPr>
          <w:rFonts w:ascii="Helvetica" w:eastAsia="Times New Roman" w:hAnsi="Helvetica" w:cs="Helvetica"/>
          <w:color w:val="333333"/>
          <w:sz w:val="21"/>
          <w:szCs w:val="21"/>
          <w:lang w:eastAsia="it-IT"/>
        </w:rPr>
      </w:pPr>
      <w:r w:rsidRPr="00AD4BFB">
        <w:rPr>
          <w:rFonts w:ascii="Helvetica" w:eastAsia="Times New Roman" w:hAnsi="Helvetica" w:cs="Helvetica"/>
          <w:b/>
          <w:bCs/>
          <w:color w:val="333333"/>
          <w:sz w:val="21"/>
          <w:szCs w:val="21"/>
          <w:lang w:eastAsia="it-IT"/>
        </w:rPr>
        <w:t>Nella determinazione della fascia</w:t>
      </w:r>
      <w:r w:rsidRPr="00AD4BFB">
        <w:rPr>
          <w:rFonts w:ascii="Helvetica" w:eastAsia="Times New Roman" w:hAnsi="Helvetica" w:cs="Helvetica"/>
          <w:color w:val="333333"/>
          <w:sz w:val="21"/>
          <w:szCs w:val="21"/>
          <w:lang w:eastAsia="it-IT"/>
        </w:rPr>
        <w:t xml:space="preserve"> si possono verificare particolari condizioni:</w:t>
      </w:r>
    </w:p>
    <w:p w:rsidR="00AD4BFB" w:rsidRPr="00AD4BFB" w:rsidRDefault="00AD4BFB" w:rsidP="00AD4BFB">
      <w:pPr>
        <w:numPr>
          <w:ilvl w:val="0"/>
          <w:numId w:val="5"/>
        </w:numPr>
        <w:spacing w:before="100" w:beforeAutospacing="1" w:after="100" w:afterAutospacing="1" w:line="240" w:lineRule="auto"/>
        <w:ind w:left="495"/>
        <w:rPr>
          <w:rFonts w:ascii="Helvetica" w:eastAsia="Times New Roman" w:hAnsi="Helvetica" w:cs="Helvetica"/>
          <w:color w:val="333333"/>
          <w:sz w:val="21"/>
          <w:szCs w:val="21"/>
          <w:lang w:eastAsia="it-IT"/>
        </w:rPr>
      </w:pPr>
      <w:r w:rsidRPr="00AD4BFB">
        <w:rPr>
          <w:rFonts w:ascii="Helvetica" w:eastAsia="Times New Roman" w:hAnsi="Helvetica" w:cs="Helvetica"/>
          <w:color w:val="333333"/>
          <w:sz w:val="21"/>
          <w:szCs w:val="21"/>
          <w:lang w:eastAsia="it-IT"/>
        </w:rPr>
        <w:t>mancata presentazione dei redditi - viene applicato il canone massimo;</w:t>
      </w:r>
    </w:p>
    <w:p w:rsidR="00AD4BFB" w:rsidRPr="00AD4BFB" w:rsidRDefault="00AD4BFB" w:rsidP="00AD4BFB">
      <w:pPr>
        <w:numPr>
          <w:ilvl w:val="0"/>
          <w:numId w:val="5"/>
        </w:numPr>
        <w:spacing w:before="100" w:beforeAutospacing="1" w:after="100" w:afterAutospacing="1" w:line="240" w:lineRule="auto"/>
        <w:ind w:left="495"/>
        <w:rPr>
          <w:rFonts w:ascii="Helvetica" w:eastAsia="Times New Roman" w:hAnsi="Helvetica" w:cs="Helvetica"/>
          <w:color w:val="333333"/>
          <w:sz w:val="21"/>
          <w:szCs w:val="21"/>
          <w:lang w:eastAsia="it-IT"/>
        </w:rPr>
      </w:pPr>
      <w:r w:rsidRPr="00AD4BFB">
        <w:rPr>
          <w:rFonts w:ascii="Helvetica" w:eastAsia="Times New Roman" w:hAnsi="Helvetica" w:cs="Helvetica"/>
          <w:color w:val="333333"/>
          <w:sz w:val="21"/>
          <w:szCs w:val="21"/>
          <w:lang w:eastAsia="it-IT"/>
        </w:rPr>
        <w:t xml:space="preserve">reddito complessivo del nucleo familiare = 0: viene applicata la fascia </w:t>
      </w:r>
      <w:r w:rsidRPr="00AD4BFB">
        <w:rPr>
          <w:rFonts w:ascii="Helvetica" w:eastAsia="Times New Roman" w:hAnsi="Helvetica" w:cs="Helvetica"/>
          <w:b/>
          <w:bCs/>
          <w:color w:val="333333"/>
          <w:sz w:val="21"/>
          <w:szCs w:val="21"/>
          <w:lang w:eastAsia="it-IT"/>
        </w:rPr>
        <w:t>C1</w:t>
      </w:r>
      <w:r w:rsidRPr="00AD4BFB">
        <w:rPr>
          <w:rFonts w:ascii="Helvetica" w:eastAsia="Times New Roman" w:hAnsi="Helvetica" w:cs="Helvetica"/>
          <w:color w:val="333333"/>
          <w:sz w:val="21"/>
          <w:szCs w:val="21"/>
          <w:lang w:eastAsia="it-IT"/>
        </w:rPr>
        <w:t xml:space="preserve"> ed il canone è attualmente di </w:t>
      </w:r>
      <w:r w:rsidRPr="00AD4BFB">
        <w:rPr>
          <w:rFonts w:ascii="Helvetica" w:eastAsia="Times New Roman" w:hAnsi="Helvetica" w:cs="Helvetica"/>
          <w:b/>
          <w:bCs/>
          <w:color w:val="333333"/>
          <w:sz w:val="21"/>
          <w:szCs w:val="21"/>
          <w:lang w:eastAsia="it-IT"/>
        </w:rPr>
        <w:t>€ 69,65 + aumenti Istat.</w:t>
      </w:r>
      <w:r w:rsidRPr="00AD4BFB">
        <w:rPr>
          <w:rFonts w:ascii="Helvetica" w:eastAsia="Times New Roman" w:hAnsi="Helvetica" w:cs="Helvetica"/>
          <w:color w:val="333333"/>
          <w:sz w:val="21"/>
          <w:szCs w:val="21"/>
          <w:lang w:eastAsia="it-IT"/>
        </w:rPr>
        <w:t xml:space="preserve"> La fascia C1 è la fascia minima per il canone ERP, per utenti non percettori dei redditi tassativamente indicati per l’attribuzione delle fasce A e B</w:t>
      </w:r>
    </w:p>
    <w:p w:rsidR="00AD4BFB" w:rsidRPr="00AD4BFB" w:rsidRDefault="00AD4BFB" w:rsidP="00AD4BFB">
      <w:pPr>
        <w:numPr>
          <w:ilvl w:val="0"/>
          <w:numId w:val="5"/>
        </w:numPr>
        <w:spacing w:before="100" w:beforeAutospacing="1" w:after="100" w:afterAutospacing="1" w:line="240" w:lineRule="auto"/>
        <w:ind w:left="495"/>
        <w:rPr>
          <w:rFonts w:ascii="Helvetica" w:eastAsia="Times New Roman" w:hAnsi="Helvetica" w:cs="Helvetica"/>
          <w:color w:val="333333"/>
          <w:sz w:val="21"/>
          <w:szCs w:val="21"/>
          <w:lang w:eastAsia="it-IT"/>
        </w:rPr>
      </w:pPr>
      <w:r w:rsidRPr="00AD4BFB">
        <w:rPr>
          <w:rFonts w:ascii="Helvetica" w:eastAsia="Times New Roman" w:hAnsi="Helvetica" w:cs="Helvetica"/>
          <w:color w:val="333333"/>
          <w:sz w:val="21"/>
          <w:szCs w:val="21"/>
          <w:lang w:eastAsia="it-IT"/>
        </w:rPr>
        <w:t xml:space="preserve">redditi da lavoro dipendente tali da determinare un canone inferiore a quello della fascia A - viene applicato il canone di </w:t>
      </w:r>
      <w:r w:rsidRPr="00AD4BFB">
        <w:rPr>
          <w:rFonts w:ascii="Helvetica" w:eastAsia="Times New Roman" w:hAnsi="Helvetica" w:cs="Helvetica"/>
          <w:b/>
          <w:bCs/>
          <w:color w:val="333333"/>
          <w:sz w:val="21"/>
          <w:szCs w:val="21"/>
          <w:lang w:eastAsia="it-IT"/>
        </w:rPr>
        <w:t>€ 7,75</w:t>
      </w:r>
    </w:p>
    <w:p w:rsidR="00AD4BFB" w:rsidRPr="00AD4BFB" w:rsidRDefault="00AD4BFB" w:rsidP="00AD4BFB">
      <w:pPr>
        <w:numPr>
          <w:ilvl w:val="0"/>
          <w:numId w:val="5"/>
        </w:numPr>
        <w:spacing w:before="100" w:beforeAutospacing="1" w:after="100" w:afterAutospacing="1" w:line="240" w:lineRule="auto"/>
        <w:ind w:left="495"/>
        <w:rPr>
          <w:rFonts w:ascii="Helvetica" w:eastAsia="Times New Roman" w:hAnsi="Helvetica" w:cs="Helvetica"/>
          <w:color w:val="333333"/>
          <w:sz w:val="21"/>
          <w:szCs w:val="21"/>
          <w:lang w:eastAsia="it-IT"/>
        </w:rPr>
      </w:pPr>
      <w:r w:rsidRPr="00AD4BFB">
        <w:rPr>
          <w:rFonts w:ascii="Helvetica" w:eastAsia="Times New Roman" w:hAnsi="Helvetica" w:cs="Helvetica"/>
          <w:color w:val="333333"/>
          <w:sz w:val="21"/>
          <w:szCs w:val="21"/>
          <w:lang w:eastAsia="it-IT"/>
        </w:rPr>
        <w:t xml:space="preserve">fascia </w:t>
      </w:r>
      <w:r w:rsidRPr="00AD4BFB">
        <w:rPr>
          <w:rFonts w:ascii="Helvetica" w:eastAsia="Times New Roman" w:hAnsi="Helvetica" w:cs="Helvetica"/>
          <w:b/>
          <w:bCs/>
          <w:color w:val="333333"/>
          <w:sz w:val="21"/>
          <w:szCs w:val="21"/>
          <w:lang w:eastAsia="it-IT"/>
        </w:rPr>
        <w:t>B4</w:t>
      </w:r>
      <w:r w:rsidRPr="00AD4BFB">
        <w:rPr>
          <w:rFonts w:ascii="Helvetica" w:eastAsia="Times New Roman" w:hAnsi="Helvetica" w:cs="Helvetica"/>
          <w:color w:val="333333"/>
          <w:sz w:val="21"/>
          <w:szCs w:val="21"/>
          <w:lang w:eastAsia="it-IT"/>
        </w:rPr>
        <w:t xml:space="preserve"> con redditi = 0 - casi dovuti all’applicazione del beneficio alla fascia C della diversa abilità - viene applicato il canone di </w:t>
      </w:r>
      <w:r w:rsidRPr="00AD4BFB">
        <w:rPr>
          <w:rFonts w:ascii="Helvetica" w:eastAsia="Times New Roman" w:hAnsi="Helvetica" w:cs="Helvetica"/>
          <w:b/>
          <w:bCs/>
          <w:color w:val="333333"/>
          <w:sz w:val="21"/>
          <w:szCs w:val="21"/>
          <w:lang w:eastAsia="it-IT"/>
        </w:rPr>
        <w:t>€ 7,75</w:t>
      </w:r>
    </w:p>
    <w:p w:rsidR="00AD4BFB" w:rsidRPr="00AD4BFB" w:rsidRDefault="00AD4BFB" w:rsidP="00AD4BFB">
      <w:pPr>
        <w:numPr>
          <w:ilvl w:val="0"/>
          <w:numId w:val="5"/>
        </w:numPr>
        <w:spacing w:before="100" w:beforeAutospacing="1" w:after="100" w:afterAutospacing="1" w:line="240" w:lineRule="auto"/>
        <w:ind w:left="495"/>
        <w:rPr>
          <w:rFonts w:ascii="Helvetica" w:eastAsia="Times New Roman" w:hAnsi="Helvetica" w:cs="Helvetica"/>
          <w:color w:val="333333"/>
          <w:sz w:val="21"/>
          <w:szCs w:val="21"/>
          <w:lang w:eastAsia="it-IT"/>
        </w:rPr>
      </w:pPr>
      <w:r w:rsidRPr="00AD4BFB">
        <w:rPr>
          <w:rFonts w:ascii="Helvetica" w:eastAsia="Times New Roman" w:hAnsi="Helvetica" w:cs="Helvetica"/>
          <w:color w:val="333333"/>
          <w:sz w:val="21"/>
          <w:szCs w:val="21"/>
          <w:lang w:eastAsia="it-IT"/>
        </w:rPr>
        <w:t xml:space="preserve">fascia </w:t>
      </w:r>
      <w:r w:rsidRPr="00AD4BFB">
        <w:rPr>
          <w:rFonts w:ascii="Helvetica" w:eastAsia="Times New Roman" w:hAnsi="Helvetica" w:cs="Helvetica"/>
          <w:b/>
          <w:bCs/>
          <w:color w:val="333333"/>
          <w:sz w:val="21"/>
          <w:szCs w:val="21"/>
          <w:lang w:eastAsia="it-IT"/>
        </w:rPr>
        <w:t>C</w:t>
      </w:r>
      <w:r w:rsidRPr="00AD4BFB">
        <w:rPr>
          <w:rFonts w:ascii="Helvetica" w:eastAsia="Times New Roman" w:hAnsi="Helvetica" w:cs="Helvetica"/>
          <w:color w:val="333333"/>
          <w:sz w:val="21"/>
          <w:szCs w:val="21"/>
          <w:lang w:eastAsia="it-IT"/>
        </w:rPr>
        <w:t xml:space="preserve"> con redditi da lavoro autonomo in perdita o tali da determinare un canone soggettivo inferiore a quello della fascia B - viene applicato il canone di </w:t>
      </w:r>
      <w:r w:rsidRPr="00AD4BFB">
        <w:rPr>
          <w:rFonts w:ascii="Helvetica" w:eastAsia="Times New Roman" w:hAnsi="Helvetica" w:cs="Helvetica"/>
          <w:b/>
          <w:bCs/>
          <w:color w:val="333333"/>
          <w:sz w:val="21"/>
          <w:szCs w:val="21"/>
          <w:lang w:eastAsia="it-IT"/>
        </w:rPr>
        <w:t>€ 69,65</w:t>
      </w:r>
    </w:p>
    <w:p w:rsidR="00AD4BFB" w:rsidRPr="00AD4BFB" w:rsidRDefault="00AD4BFB" w:rsidP="00AD4BFB">
      <w:pPr>
        <w:spacing w:after="0" w:line="240" w:lineRule="auto"/>
        <w:rPr>
          <w:rFonts w:ascii="Helvetica" w:eastAsia="Times New Roman" w:hAnsi="Helvetica" w:cs="Helvetica"/>
          <w:color w:val="333333"/>
          <w:sz w:val="21"/>
          <w:szCs w:val="21"/>
          <w:lang w:eastAsia="it-IT"/>
        </w:rPr>
      </w:pPr>
    </w:p>
    <w:p w:rsidR="00AD4BFB" w:rsidRPr="00AD4BFB" w:rsidRDefault="00AD4BFB" w:rsidP="00AD4BFB">
      <w:pPr>
        <w:spacing w:after="150" w:line="240" w:lineRule="auto"/>
        <w:rPr>
          <w:rFonts w:ascii="Helvetica" w:eastAsia="Times New Roman" w:hAnsi="Helvetica" w:cs="Helvetica"/>
          <w:color w:val="333333"/>
          <w:sz w:val="21"/>
          <w:szCs w:val="21"/>
          <w:lang w:eastAsia="it-IT"/>
        </w:rPr>
      </w:pPr>
      <w:r w:rsidRPr="00AD4BFB">
        <w:rPr>
          <w:rFonts w:ascii="Helvetica" w:eastAsia="Times New Roman" w:hAnsi="Helvetica" w:cs="Helvetica"/>
          <w:color w:val="333333"/>
          <w:sz w:val="21"/>
          <w:szCs w:val="21"/>
          <w:lang w:eastAsia="it-IT"/>
        </w:rPr>
        <w:t xml:space="preserve">Occupanti Senza Titolo </w:t>
      </w:r>
    </w:p>
    <w:p w:rsidR="00AD4BFB" w:rsidRPr="00AD4BFB" w:rsidRDefault="00AD4BFB" w:rsidP="00AD4BFB">
      <w:pPr>
        <w:spacing w:after="150" w:line="240" w:lineRule="auto"/>
        <w:rPr>
          <w:rFonts w:ascii="Helvetica" w:eastAsia="Times New Roman" w:hAnsi="Helvetica" w:cs="Helvetica"/>
          <w:color w:val="333333"/>
          <w:sz w:val="21"/>
          <w:szCs w:val="21"/>
          <w:lang w:eastAsia="it-IT"/>
        </w:rPr>
      </w:pPr>
      <w:r w:rsidRPr="00AD4BFB">
        <w:rPr>
          <w:rFonts w:ascii="Helvetica" w:eastAsia="Times New Roman" w:hAnsi="Helvetica" w:cs="Helvetica"/>
          <w:color w:val="333333"/>
          <w:sz w:val="21"/>
          <w:szCs w:val="21"/>
          <w:lang w:eastAsia="it-IT"/>
        </w:rPr>
        <w:t xml:space="preserve">Agli occupanti senza titolo </w:t>
      </w:r>
      <w:r w:rsidRPr="00AD4BFB">
        <w:rPr>
          <w:rFonts w:ascii="Helvetica" w:eastAsia="Times New Roman" w:hAnsi="Helvetica" w:cs="Helvetica"/>
          <w:b/>
          <w:bCs/>
          <w:color w:val="333333"/>
          <w:sz w:val="21"/>
          <w:szCs w:val="21"/>
          <w:lang w:eastAsia="it-IT"/>
        </w:rPr>
        <w:t>non soggetti a sanatoria</w:t>
      </w:r>
      <w:r w:rsidRPr="00AD4BFB">
        <w:rPr>
          <w:rFonts w:ascii="Helvetica" w:eastAsia="Times New Roman" w:hAnsi="Helvetica" w:cs="Helvetica"/>
          <w:color w:val="333333"/>
          <w:sz w:val="21"/>
          <w:szCs w:val="21"/>
          <w:lang w:eastAsia="it-IT"/>
        </w:rPr>
        <w:t xml:space="preserve"> è attribuita l'indennità di occupazione calcolata nella misura del 300% dell'equo canone, in base alla legge regionale di sanatoria 27/2006. </w:t>
      </w:r>
    </w:p>
    <w:p w:rsidR="00AD4BFB" w:rsidRPr="00AD4BFB" w:rsidRDefault="00AD4BFB" w:rsidP="00AD4BFB">
      <w:pPr>
        <w:spacing w:after="0" w:line="240" w:lineRule="auto"/>
        <w:rPr>
          <w:rFonts w:ascii="Helvetica" w:eastAsia="Times New Roman" w:hAnsi="Helvetica" w:cs="Helvetica"/>
          <w:color w:val="333333"/>
          <w:sz w:val="21"/>
          <w:szCs w:val="21"/>
          <w:lang w:eastAsia="it-IT"/>
        </w:rPr>
      </w:pPr>
    </w:p>
    <w:p w:rsidR="00AD4BFB" w:rsidRPr="00AD4BFB" w:rsidRDefault="00AD4BFB" w:rsidP="00AD4BFB">
      <w:pPr>
        <w:spacing w:after="150" w:line="240" w:lineRule="auto"/>
        <w:rPr>
          <w:rFonts w:ascii="Helvetica" w:eastAsia="Times New Roman" w:hAnsi="Helvetica" w:cs="Helvetica"/>
          <w:color w:val="333333"/>
          <w:sz w:val="21"/>
          <w:szCs w:val="21"/>
          <w:lang w:eastAsia="it-IT"/>
        </w:rPr>
      </w:pPr>
      <w:hyperlink r:id="rId8" w:history="1">
        <w:r w:rsidRPr="00AD4BFB">
          <w:rPr>
            <w:rFonts w:ascii="Helvetica" w:eastAsia="Times New Roman" w:hAnsi="Helvetica" w:cs="Helvetica"/>
            <w:color w:val="337AB7"/>
            <w:sz w:val="21"/>
            <w:szCs w:val="21"/>
            <w:lang w:eastAsia="it-IT"/>
          </w:rPr>
          <w:t>Tabella per la determinazione del canone regionale</w:t>
        </w:r>
      </w:hyperlink>
      <w:r w:rsidRPr="00AD4BFB">
        <w:rPr>
          <w:rFonts w:ascii="Helvetica" w:eastAsia="Times New Roman" w:hAnsi="Helvetica" w:cs="Helvetica"/>
          <w:color w:val="333333"/>
          <w:sz w:val="21"/>
          <w:szCs w:val="21"/>
          <w:lang w:eastAsia="it-IT"/>
        </w:rPr>
        <w:t xml:space="preserve"> </w:t>
      </w:r>
    </w:p>
    <w:p w:rsidR="008A5D9E" w:rsidRDefault="008A5D9E">
      <w:pPr>
        <w:rPr>
          <w:rFonts w:ascii="Helvetica" w:eastAsia="Times New Roman" w:hAnsi="Helvetica" w:cs="Helvetica"/>
          <w:color w:val="333333"/>
          <w:sz w:val="21"/>
          <w:szCs w:val="21"/>
          <w:lang w:eastAsia="it-IT"/>
        </w:rPr>
      </w:pPr>
    </w:p>
    <w:p w:rsidR="00AD4BFB" w:rsidRDefault="00AD4BFB">
      <w:bookmarkStart w:id="0" w:name="_GoBack"/>
      <w:bookmarkEnd w:id="0"/>
    </w:p>
    <w:sectPr w:rsidR="00AD4BF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B0084"/>
    <w:multiLevelType w:val="multilevel"/>
    <w:tmpl w:val="D884D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D26D72"/>
    <w:multiLevelType w:val="multilevel"/>
    <w:tmpl w:val="F8881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E34DFF"/>
    <w:multiLevelType w:val="multilevel"/>
    <w:tmpl w:val="109A2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F7085B"/>
    <w:multiLevelType w:val="multilevel"/>
    <w:tmpl w:val="87449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ECD2725"/>
    <w:multiLevelType w:val="multilevel"/>
    <w:tmpl w:val="D08C0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637603E"/>
    <w:multiLevelType w:val="multilevel"/>
    <w:tmpl w:val="117C0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92950A6"/>
    <w:multiLevelType w:val="multilevel"/>
    <w:tmpl w:val="50820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D8927CB"/>
    <w:multiLevelType w:val="multilevel"/>
    <w:tmpl w:val="802A4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6657203"/>
    <w:multiLevelType w:val="multilevel"/>
    <w:tmpl w:val="35CE8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4"/>
  </w:num>
  <w:num w:numId="5">
    <w:abstractNumId w:val="7"/>
  </w:num>
  <w:num w:numId="6">
    <w:abstractNumId w:val="1"/>
  </w:num>
  <w:num w:numId="7">
    <w:abstractNumId w:val="8"/>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4BFB"/>
    <w:rsid w:val="008A5D9E"/>
    <w:rsid w:val="00AD4BF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AD4BF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D4BF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AD4BF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D4B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8476936">
      <w:bodyDiv w:val="1"/>
      <w:marLeft w:val="0"/>
      <w:marRight w:val="0"/>
      <w:marTop w:val="0"/>
      <w:marBottom w:val="0"/>
      <w:divBdr>
        <w:top w:val="none" w:sz="0" w:space="0" w:color="auto"/>
        <w:left w:val="none" w:sz="0" w:space="0" w:color="auto"/>
        <w:bottom w:val="none" w:sz="0" w:space="0" w:color="auto"/>
        <w:right w:val="none" w:sz="0" w:space="0" w:color="auto"/>
      </w:divBdr>
      <w:divsChild>
        <w:div w:id="1588927187">
          <w:marLeft w:val="0"/>
          <w:marRight w:val="0"/>
          <w:marTop w:val="0"/>
          <w:marBottom w:val="0"/>
          <w:divBdr>
            <w:top w:val="none" w:sz="0" w:space="0" w:color="auto"/>
            <w:left w:val="none" w:sz="0" w:space="0" w:color="auto"/>
            <w:bottom w:val="none" w:sz="0" w:space="0" w:color="auto"/>
            <w:right w:val="none" w:sz="0" w:space="0" w:color="auto"/>
          </w:divBdr>
          <w:divsChild>
            <w:div w:id="998461521">
              <w:marLeft w:val="0"/>
              <w:marRight w:val="0"/>
              <w:marTop w:val="0"/>
              <w:marBottom w:val="0"/>
              <w:divBdr>
                <w:top w:val="none" w:sz="0" w:space="0" w:color="auto"/>
                <w:left w:val="none" w:sz="0" w:space="0" w:color="auto"/>
                <w:bottom w:val="none" w:sz="0" w:space="0" w:color="auto"/>
                <w:right w:val="none" w:sz="0" w:space="0" w:color="auto"/>
              </w:divBdr>
              <w:divsChild>
                <w:div w:id="138233852">
                  <w:marLeft w:val="0"/>
                  <w:marRight w:val="0"/>
                  <w:marTop w:val="0"/>
                  <w:marBottom w:val="0"/>
                  <w:divBdr>
                    <w:top w:val="none" w:sz="0" w:space="0" w:color="auto"/>
                    <w:left w:val="none" w:sz="0" w:space="0" w:color="auto"/>
                    <w:bottom w:val="none" w:sz="0" w:space="0" w:color="auto"/>
                    <w:right w:val="none" w:sz="0" w:space="0" w:color="auto"/>
                  </w:divBdr>
                  <w:divsChild>
                    <w:div w:id="1571381297">
                      <w:marLeft w:val="-225"/>
                      <w:marRight w:val="-225"/>
                      <w:marTop w:val="0"/>
                      <w:marBottom w:val="0"/>
                      <w:divBdr>
                        <w:top w:val="none" w:sz="0" w:space="0" w:color="auto"/>
                        <w:left w:val="none" w:sz="0" w:space="0" w:color="auto"/>
                        <w:bottom w:val="none" w:sz="0" w:space="0" w:color="auto"/>
                        <w:right w:val="none" w:sz="0" w:space="0" w:color="auto"/>
                      </w:divBdr>
                      <w:divsChild>
                        <w:div w:id="42026754">
                          <w:marLeft w:val="0"/>
                          <w:marRight w:val="0"/>
                          <w:marTop w:val="0"/>
                          <w:marBottom w:val="0"/>
                          <w:divBdr>
                            <w:top w:val="none" w:sz="0" w:space="0" w:color="auto"/>
                            <w:left w:val="none" w:sz="0" w:space="0" w:color="auto"/>
                            <w:bottom w:val="none" w:sz="0" w:space="0" w:color="auto"/>
                            <w:right w:val="none" w:sz="0" w:space="0" w:color="auto"/>
                          </w:divBdr>
                          <w:divsChild>
                            <w:div w:id="2074548843">
                              <w:marLeft w:val="0"/>
                              <w:marRight w:val="0"/>
                              <w:marTop w:val="0"/>
                              <w:marBottom w:val="0"/>
                              <w:divBdr>
                                <w:top w:val="none" w:sz="0" w:space="0" w:color="auto"/>
                                <w:left w:val="none" w:sz="0" w:space="0" w:color="auto"/>
                                <w:bottom w:val="none" w:sz="0" w:space="0" w:color="auto"/>
                                <w:right w:val="none" w:sz="0" w:space="0" w:color="auto"/>
                              </w:divBdr>
                            </w:div>
                          </w:divsChild>
                        </w:div>
                        <w:div w:id="1968730706">
                          <w:marLeft w:val="0"/>
                          <w:marRight w:val="0"/>
                          <w:marTop w:val="0"/>
                          <w:marBottom w:val="0"/>
                          <w:divBdr>
                            <w:top w:val="none" w:sz="0" w:space="0" w:color="auto"/>
                            <w:left w:val="none" w:sz="0" w:space="0" w:color="auto"/>
                            <w:bottom w:val="none" w:sz="0" w:space="0" w:color="auto"/>
                            <w:right w:val="none" w:sz="0" w:space="0" w:color="auto"/>
                          </w:divBdr>
                          <w:divsChild>
                            <w:div w:id="103960624">
                              <w:marLeft w:val="0"/>
                              <w:marRight w:val="0"/>
                              <w:marTop w:val="0"/>
                              <w:marBottom w:val="300"/>
                              <w:divBdr>
                                <w:top w:val="none" w:sz="0" w:space="0" w:color="auto"/>
                                <w:left w:val="none" w:sz="0" w:space="0" w:color="auto"/>
                                <w:bottom w:val="none" w:sz="0" w:space="0" w:color="auto"/>
                                <w:right w:val="none" w:sz="0" w:space="0" w:color="auto"/>
                              </w:divBdr>
                              <w:divsChild>
                                <w:div w:id="675962921">
                                  <w:marLeft w:val="0"/>
                                  <w:marRight w:val="0"/>
                                  <w:marTop w:val="0"/>
                                  <w:marBottom w:val="0"/>
                                  <w:divBdr>
                                    <w:top w:val="none" w:sz="0" w:space="0" w:color="auto"/>
                                    <w:left w:val="none" w:sz="0" w:space="0" w:color="auto"/>
                                    <w:bottom w:val="none" w:sz="0" w:space="0" w:color="auto"/>
                                    <w:right w:val="none" w:sz="0" w:space="0" w:color="auto"/>
                                  </w:divBdr>
                                </w:div>
                                <w:div w:id="1794834542">
                                  <w:marLeft w:val="0"/>
                                  <w:marRight w:val="0"/>
                                  <w:marTop w:val="0"/>
                                  <w:marBottom w:val="0"/>
                                  <w:divBdr>
                                    <w:top w:val="none" w:sz="0" w:space="0" w:color="auto"/>
                                    <w:left w:val="none" w:sz="0" w:space="0" w:color="auto"/>
                                    <w:bottom w:val="none" w:sz="0" w:space="0" w:color="auto"/>
                                    <w:right w:val="none" w:sz="0" w:space="0" w:color="auto"/>
                                  </w:divBdr>
                                  <w:divsChild>
                                    <w:div w:id="87720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246022">
                              <w:marLeft w:val="0"/>
                              <w:marRight w:val="0"/>
                              <w:marTop w:val="0"/>
                              <w:marBottom w:val="300"/>
                              <w:divBdr>
                                <w:top w:val="none" w:sz="0" w:space="0" w:color="auto"/>
                                <w:left w:val="none" w:sz="0" w:space="0" w:color="auto"/>
                                <w:bottom w:val="none" w:sz="0" w:space="0" w:color="auto"/>
                                <w:right w:val="none" w:sz="0" w:space="0" w:color="auto"/>
                              </w:divBdr>
                              <w:divsChild>
                                <w:div w:id="1628270550">
                                  <w:marLeft w:val="0"/>
                                  <w:marRight w:val="0"/>
                                  <w:marTop w:val="0"/>
                                  <w:marBottom w:val="0"/>
                                  <w:divBdr>
                                    <w:top w:val="none" w:sz="0" w:space="0" w:color="auto"/>
                                    <w:left w:val="none" w:sz="0" w:space="0" w:color="auto"/>
                                    <w:bottom w:val="none" w:sz="0" w:space="0" w:color="auto"/>
                                    <w:right w:val="none" w:sz="0" w:space="0" w:color="auto"/>
                                  </w:divBdr>
                                </w:div>
                              </w:divsChild>
                            </w:div>
                            <w:div w:id="295599257">
                              <w:marLeft w:val="0"/>
                              <w:marRight w:val="0"/>
                              <w:marTop w:val="0"/>
                              <w:marBottom w:val="300"/>
                              <w:divBdr>
                                <w:top w:val="none" w:sz="0" w:space="0" w:color="auto"/>
                                <w:left w:val="none" w:sz="0" w:space="0" w:color="auto"/>
                                <w:bottom w:val="none" w:sz="0" w:space="0" w:color="auto"/>
                                <w:right w:val="none" w:sz="0" w:space="0" w:color="auto"/>
                              </w:divBdr>
                              <w:divsChild>
                                <w:div w:id="1394960851">
                                  <w:marLeft w:val="0"/>
                                  <w:marRight w:val="0"/>
                                  <w:marTop w:val="0"/>
                                  <w:marBottom w:val="0"/>
                                  <w:divBdr>
                                    <w:top w:val="none" w:sz="0" w:space="0" w:color="auto"/>
                                    <w:left w:val="none" w:sz="0" w:space="0" w:color="auto"/>
                                    <w:bottom w:val="none" w:sz="0" w:space="0" w:color="auto"/>
                                    <w:right w:val="none" w:sz="0" w:space="0" w:color="auto"/>
                                  </w:divBdr>
                                </w:div>
                                <w:div w:id="926816078">
                                  <w:marLeft w:val="0"/>
                                  <w:marRight w:val="0"/>
                                  <w:marTop w:val="0"/>
                                  <w:marBottom w:val="0"/>
                                  <w:divBdr>
                                    <w:top w:val="none" w:sz="0" w:space="0" w:color="auto"/>
                                    <w:left w:val="none" w:sz="0" w:space="0" w:color="auto"/>
                                    <w:bottom w:val="none" w:sz="0" w:space="0" w:color="auto"/>
                                    <w:right w:val="none" w:sz="0" w:space="0" w:color="auto"/>
                                  </w:divBdr>
                                </w:div>
                                <w:div w:id="132215670">
                                  <w:marLeft w:val="0"/>
                                  <w:marRight w:val="0"/>
                                  <w:marTop w:val="0"/>
                                  <w:marBottom w:val="0"/>
                                  <w:divBdr>
                                    <w:top w:val="none" w:sz="0" w:space="0" w:color="auto"/>
                                    <w:left w:val="none" w:sz="0" w:space="0" w:color="auto"/>
                                    <w:bottom w:val="none" w:sz="0" w:space="0" w:color="auto"/>
                                    <w:right w:val="none" w:sz="0" w:space="0" w:color="auto"/>
                                  </w:divBdr>
                                </w:div>
                                <w:div w:id="789782834">
                                  <w:marLeft w:val="0"/>
                                  <w:marRight w:val="0"/>
                                  <w:marTop w:val="0"/>
                                  <w:marBottom w:val="0"/>
                                  <w:divBdr>
                                    <w:top w:val="none" w:sz="0" w:space="0" w:color="auto"/>
                                    <w:left w:val="none" w:sz="0" w:space="0" w:color="auto"/>
                                    <w:bottom w:val="none" w:sz="0" w:space="0" w:color="auto"/>
                                    <w:right w:val="none" w:sz="0" w:space="0" w:color="auto"/>
                                  </w:divBdr>
                                </w:div>
                                <w:div w:id="130296992">
                                  <w:marLeft w:val="0"/>
                                  <w:marRight w:val="0"/>
                                  <w:marTop w:val="0"/>
                                  <w:marBottom w:val="0"/>
                                  <w:divBdr>
                                    <w:top w:val="none" w:sz="0" w:space="0" w:color="auto"/>
                                    <w:left w:val="none" w:sz="0" w:space="0" w:color="auto"/>
                                    <w:bottom w:val="none" w:sz="0" w:space="0" w:color="auto"/>
                                    <w:right w:val="none" w:sz="0" w:space="0" w:color="auto"/>
                                  </w:divBdr>
                                </w:div>
                                <w:div w:id="238751672">
                                  <w:marLeft w:val="0"/>
                                  <w:marRight w:val="0"/>
                                  <w:marTop w:val="0"/>
                                  <w:marBottom w:val="0"/>
                                  <w:divBdr>
                                    <w:top w:val="none" w:sz="0" w:space="0" w:color="auto"/>
                                    <w:left w:val="none" w:sz="0" w:space="0" w:color="auto"/>
                                    <w:bottom w:val="none" w:sz="0" w:space="0" w:color="auto"/>
                                    <w:right w:val="none" w:sz="0" w:space="0" w:color="auto"/>
                                  </w:divBdr>
                                </w:div>
                                <w:div w:id="592319507">
                                  <w:marLeft w:val="0"/>
                                  <w:marRight w:val="0"/>
                                  <w:marTop w:val="0"/>
                                  <w:marBottom w:val="0"/>
                                  <w:divBdr>
                                    <w:top w:val="none" w:sz="0" w:space="0" w:color="auto"/>
                                    <w:left w:val="none" w:sz="0" w:space="0" w:color="auto"/>
                                    <w:bottom w:val="none" w:sz="0" w:space="0" w:color="auto"/>
                                    <w:right w:val="none" w:sz="0" w:space="0" w:color="auto"/>
                                  </w:divBdr>
                                </w:div>
                                <w:div w:id="940643421">
                                  <w:marLeft w:val="0"/>
                                  <w:marRight w:val="0"/>
                                  <w:marTop w:val="0"/>
                                  <w:marBottom w:val="0"/>
                                  <w:divBdr>
                                    <w:top w:val="none" w:sz="0" w:space="0" w:color="auto"/>
                                    <w:left w:val="none" w:sz="0" w:space="0" w:color="auto"/>
                                    <w:bottom w:val="none" w:sz="0" w:space="0" w:color="auto"/>
                                    <w:right w:val="none" w:sz="0" w:space="0" w:color="auto"/>
                                  </w:divBdr>
                                </w:div>
                                <w:div w:id="989944912">
                                  <w:marLeft w:val="0"/>
                                  <w:marRight w:val="0"/>
                                  <w:marTop w:val="0"/>
                                  <w:marBottom w:val="0"/>
                                  <w:divBdr>
                                    <w:top w:val="none" w:sz="0" w:space="0" w:color="auto"/>
                                    <w:left w:val="none" w:sz="0" w:space="0" w:color="auto"/>
                                    <w:bottom w:val="none" w:sz="0" w:space="0" w:color="auto"/>
                                    <w:right w:val="none" w:sz="0" w:space="0" w:color="auto"/>
                                  </w:divBdr>
                                </w:div>
                                <w:div w:id="159777655">
                                  <w:marLeft w:val="0"/>
                                  <w:marRight w:val="0"/>
                                  <w:marTop w:val="0"/>
                                  <w:marBottom w:val="0"/>
                                  <w:divBdr>
                                    <w:top w:val="none" w:sz="0" w:space="0" w:color="auto"/>
                                    <w:left w:val="none" w:sz="0" w:space="0" w:color="auto"/>
                                    <w:bottom w:val="none" w:sz="0" w:space="0" w:color="auto"/>
                                    <w:right w:val="none" w:sz="0" w:space="0" w:color="auto"/>
                                  </w:divBdr>
                                </w:div>
                                <w:div w:id="7224344">
                                  <w:marLeft w:val="0"/>
                                  <w:marRight w:val="0"/>
                                  <w:marTop w:val="0"/>
                                  <w:marBottom w:val="0"/>
                                  <w:divBdr>
                                    <w:top w:val="none" w:sz="0" w:space="0" w:color="auto"/>
                                    <w:left w:val="none" w:sz="0" w:space="0" w:color="auto"/>
                                    <w:bottom w:val="none" w:sz="0" w:space="0" w:color="auto"/>
                                    <w:right w:val="none" w:sz="0" w:space="0" w:color="auto"/>
                                  </w:divBdr>
                                </w:div>
                              </w:divsChild>
                            </w:div>
                            <w:div w:id="474378604">
                              <w:marLeft w:val="0"/>
                              <w:marRight w:val="0"/>
                              <w:marTop w:val="0"/>
                              <w:marBottom w:val="300"/>
                              <w:divBdr>
                                <w:top w:val="none" w:sz="0" w:space="0" w:color="auto"/>
                                <w:left w:val="none" w:sz="0" w:space="0" w:color="auto"/>
                                <w:bottom w:val="none" w:sz="0" w:space="0" w:color="auto"/>
                                <w:right w:val="none" w:sz="0" w:space="0" w:color="auto"/>
                              </w:divBdr>
                              <w:divsChild>
                                <w:div w:id="435251096">
                                  <w:marLeft w:val="0"/>
                                  <w:marRight w:val="0"/>
                                  <w:marTop w:val="0"/>
                                  <w:marBottom w:val="0"/>
                                  <w:divBdr>
                                    <w:top w:val="none" w:sz="0" w:space="0" w:color="auto"/>
                                    <w:left w:val="none" w:sz="0" w:space="0" w:color="auto"/>
                                    <w:bottom w:val="none" w:sz="0" w:space="0" w:color="auto"/>
                                    <w:right w:val="none" w:sz="0" w:space="0" w:color="auto"/>
                                  </w:divBdr>
                                </w:div>
                                <w:div w:id="661927815">
                                  <w:marLeft w:val="0"/>
                                  <w:marRight w:val="0"/>
                                  <w:marTop w:val="0"/>
                                  <w:marBottom w:val="0"/>
                                  <w:divBdr>
                                    <w:top w:val="none" w:sz="0" w:space="0" w:color="auto"/>
                                    <w:left w:val="none" w:sz="0" w:space="0" w:color="auto"/>
                                    <w:bottom w:val="none" w:sz="0" w:space="0" w:color="auto"/>
                                    <w:right w:val="none" w:sz="0" w:space="0" w:color="auto"/>
                                  </w:divBdr>
                                </w:div>
                                <w:div w:id="1019817256">
                                  <w:marLeft w:val="0"/>
                                  <w:marRight w:val="0"/>
                                  <w:marTop w:val="0"/>
                                  <w:marBottom w:val="0"/>
                                  <w:divBdr>
                                    <w:top w:val="none" w:sz="0" w:space="0" w:color="auto"/>
                                    <w:left w:val="none" w:sz="0" w:space="0" w:color="auto"/>
                                    <w:bottom w:val="none" w:sz="0" w:space="0" w:color="auto"/>
                                    <w:right w:val="none" w:sz="0" w:space="0" w:color="auto"/>
                                  </w:divBdr>
                                </w:div>
                                <w:div w:id="1715736023">
                                  <w:marLeft w:val="0"/>
                                  <w:marRight w:val="0"/>
                                  <w:marTop w:val="0"/>
                                  <w:marBottom w:val="0"/>
                                  <w:divBdr>
                                    <w:top w:val="none" w:sz="0" w:space="0" w:color="auto"/>
                                    <w:left w:val="none" w:sz="0" w:space="0" w:color="auto"/>
                                    <w:bottom w:val="none" w:sz="0" w:space="0" w:color="auto"/>
                                    <w:right w:val="none" w:sz="0" w:space="0" w:color="auto"/>
                                  </w:divBdr>
                                </w:div>
                                <w:div w:id="2002388884">
                                  <w:marLeft w:val="0"/>
                                  <w:marRight w:val="0"/>
                                  <w:marTop w:val="0"/>
                                  <w:marBottom w:val="0"/>
                                  <w:divBdr>
                                    <w:top w:val="none" w:sz="0" w:space="0" w:color="auto"/>
                                    <w:left w:val="none" w:sz="0" w:space="0" w:color="auto"/>
                                    <w:bottom w:val="none" w:sz="0" w:space="0" w:color="auto"/>
                                    <w:right w:val="none" w:sz="0" w:space="0" w:color="auto"/>
                                  </w:divBdr>
                                </w:div>
                                <w:div w:id="1253005973">
                                  <w:marLeft w:val="0"/>
                                  <w:marRight w:val="0"/>
                                  <w:marTop w:val="0"/>
                                  <w:marBottom w:val="0"/>
                                  <w:divBdr>
                                    <w:top w:val="none" w:sz="0" w:space="0" w:color="auto"/>
                                    <w:left w:val="none" w:sz="0" w:space="0" w:color="auto"/>
                                    <w:bottom w:val="none" w:sz="0" w:space="0" w:color="auto"/>
                                    <w:right w:val="none" w:sz="0" w:space="0" w:color="auto"/>
                                  </w:divBdr>
                                </w:div>
                              </w:divsChild>
                            </w:div>
                            <w:div w:id="847870324">
                              <w:marLeft w:val="0"/>
                              <w:marRight w:val="0"/>
                              <w:marTop w:val="0"/>
                              <w:marBottom w:val="300"/>
                              <w:divBdr>
                                <w:top w:val="none" w:sz="0" w:space="0" w:color="auto"/>
                                <w:left w:val="none" w:sz="0" w:space="0" w:color="auto"/>
                                <w:bottom w:val="none" w:sz="0" w:space="0" w:color="auto"/>
                                <w:right w:val="none" w:sz="0" w:space="0" w:color="auto"/>
                              </w:divBdr>
                              <w:divsChild>
                                <w:div w:id="1909000455">
                                  <w:marLeft w:val="0"/>
                                  <w:marRight w:val="0"/>
                                  <w:marTop w:val="0"/>
                                  <w:marBottom w:val="0"/>
                                  <w:divBdr>
                                    <w:top w:val="none" w:sz="0" w:space="0" w:color="auto"/>
                                    <w:left w:val="none" w:sz="0" w:space="0" w:color="auto"/>
                                    <w:bottom w:val="none" w:sz="0" w:space="0" w:color="auto"/>
                                    <w:right w:val="none" w:sz="0" w:space="0" w:color="auto"/>
                                  </w:divBdr>
                                </w:div>
                                <w:div w:id="1708024728">
                                  <w:marLeft w:val="0"/>
                                  <w:marRight w:val="0"/>
                                  <w:marTop w:val="0"/>
                                  <w:marBottom w:val="0"/>
                                  <w:divBdr>
                                    <w:top w:val="none" w:sz="0" w:space="0" w:color="auto"/>
                                    <w:left w:val="none" w:sz="0" w:space="0" w:color="auto"/>
                                    <w:bottom w:val="none" w:sz="0" w:space="0" w:color="auto"/>
                                    <w:right w:val="none" w:sz="0" w:space="0" w:color="auto"/>
                                  </w:divBdr>
                                </w:div>
                                <w:div w:id="1652559342">
                                  <w:marLeft w:val="0"/>
                                  <w:marRight w:val="0"/>
                                  <w:marTop w:val="0"/>
                                  <w:marBottom w:val="0"/>
                                  <w:divBdr>
                                    <w:top w:val="none" w:sz="0" w:space="0" w:color="auto"/>
                                    <w:left w:val="none" w:sz="0" w:space="0" w:color="auto"/>
                                    <w:bottom w:val="none" w:sz="0" w:space="0" w:color="auto"/>
                                    <w:right w:val="none" w:sz="0" w:space="0" w:color="auto"/>
                                  </w:divBdr>
                                </w:div>
                                <w:div w:id="1755200653">
                                  <w:marLeft w:val="0"/>
                                  <w:marRight w:val="0"/>
                                  <w:marTop w:val="0"/>
                                  <w:marBottom w:val="0"/>
                                  <w:divBdr>
                                    <w:top w:val="none" w:sz="0" w:space="0" w:color="auto"/>
                                    <w:left w:val="none" w:sz="0" w:space="0" w:color="auto"/>
                                    <w:bottom w:val="none" w:sz="0" w:space="0" w:color="auto"/>
                                    <w:right w:val="none" w:sz="0" w:space="0" w:color="auto"/>
                                  </w:divBdr>
                                </w:div>
                                <w:div w:id="3103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344127">
                      <w:marLeft w:val="0"/>
                      <w:marRight w:val="0"/>
                      <w:marTop w:val="0"/>
                      <w:marBottom w:val="0"/>
                      <w:divBdr>
                        <w:top w:val="none" w:sz="0" w:space="0" w:color="auto"/>
                        <w:left w:val="none" w:sz="0" w:space="0" w:color="auto"/>
                        <w:bottom w:val="none" w:sz="0" w:space="0" w:color="auto"/>
                        <w:right w:val="none" w:sz="0" w:space="0" w:color="auto"/>
                      </w:divBdr>
                      <w:divsChild>
                        <w:div w:id="484782866">
                          <w:marLeft w:val="-225"/>
                          <w:marRight w:val="-225"/>
                          <w:marTop w:val="0"/>
                          <w:marBottom w:val="0"/>
                          <w:divBdr>
                            <w:top w:val="none" w:sz="0" w:space="0" w:color="auto"/>
                            <w:left w:val="none" w:sz="0" w:space="0" w:color="auto"/>
                            <w:bottom w:val="none" w:sz="0" w:space="0" w:color="auto"/>
                            <w:right w:val="none" w:sz="0" w:space="0" w:color="auto"/>
                          </w:divBdr>
                          <w:divsChild>
                            <w:div w:id="1026711903">
                              <w:marLeft w:val="0"/>
                              <w:marRight w:val="0"/>
                              <w:marTop w:val="0"/>
                              <w:marBottom w:val="0"/>
                              <w:divBdr>
                                <w:top w:val="none" w:sz="0" w:space="0" w:color="auto"/>
                                <w:left w:val="none" w:sz="0" w:space="0" w:color="auto"/>
                                <w:bottom w:val="none" w:sz="0" w:space="0" w:color="auto"/>
                                <w:right w:val="none" w:sz="0" w:space="0" w:color="auto"/>
                              </w:divBdr>
                              <w:divsChild>
                                <w:div w:id="1617566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erroma.it/DOC/gestione-amministrativa-erp/tabella_fasce.pdf" TargetMode="External"/><Relationship Id="rId3" Type="http://schemas.microsoft.com/office/2007/relationships/stylesWithEffects" Target="stylesWithEffects.xml"/><Relationship Id="rId7" Type="http://schemas.openxmlformats.org/officeDocument/2006/relationships/hyperlink" Target="https://www.aterroma.it/DOC/gestione-amministrativa-erp/tabella_fasce.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mune.roma.it/wps/portal/pcr?jppagecode=bandipoliticheabitative.wp"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1205</Words>
  <Characters>6874</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Annamaria</dc:creator>
  <cp:lastModifiedBy>Annamaria</cp:lastModifiedBy>
  <cp:revision>1</cp:revision>
  <dcterms:created xsi:type="dcterms:W3CDTF">2019-11-04T12:41:00Z</dcterms:created>
  <dcterms:modified xsi:type="dcterms:W3CDTF">2019-11-04T12:42:00Z</dcterms:modified>
</cp:coreProperties>
</file>