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8B" w:rsidRDefault="004E5A8B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27/02/2020 - BOLLETTINO UFFICIALE DELLA REGIONE LAZIO - N. 17 - Supplemento n. 2 P a g. 59 di 104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>
        <w:rPr>
          <w:rFonts w:ascii="Times New Roman" w:hAnsi="Times New Roman" w:cs="Times New Roman"/>
          <w:sz w:val="24"/>
          <w:szCs w:val="24"/>
        </w:rPr>
        <w:t>Alla legge regionale 6 agosto 1999, n. 12 (Disciplina delle funzioni amministrative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regionali e locali in materia di edilizia residenziale pubblica) sono apportate le seguenti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modifiche: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all’articolo 11: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NewRomanPSMT" w:hAnsi="TimesNewRomanPSMT" w:cs="TimesNewRomanPSMT"/>
          <w:sz w:val="24"/>
          <w:szCs w:val="24"/>
        </w:rPr>
        <w:t>al comma 1, lettera d) le parole “o derivata” sono abrogate;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il comma 2 è così sosti</w:t>
      </w:r>
      <w:r>
        <w:rPr>
          <w:rFonts w:ascii="TimesNewRomanPSMT" w:hAnsi="TimesNewRomanPSMT" w:cs="TimesNewRomanPSMT"/>
          <w:sz w:val="24"/>
          <w:szCs w:val="24"/>
        </w:rPr>
        <w:t>tuito: “2. I requisiti previsti dal comma 1 devono essere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posseduti da parte del richiedente e, limitatamente a quelli di cui alle lettere c), d)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f), anche da parte degli altri componenti il nucleo familiare, alla data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presentazione della domanda al bando di concorso e permanere fino al momento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dell’assegnazione ed in costanza di rapporto.”;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Il comma 2-bis, è sostituito dal seguente: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“2</w:t>
      </w:r>
      <w:r>
        <w:rPr>
          <w:rFonts w:ascii="Times New Roman" w:hAnsi="Times New Roman" w:cs="Times New Roman"/>
          <w:sz w:val="24"/>
          <w:szCs w:val="24"/>
        </w:rPr>
        <w:t>-bis. La perdita del requisito di cui alla lettera c) del comma 1 da parte di un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componente il nucleo familiare, d</w:t>
      </w:r>
      <w:r>
        <w:rPr>
          <w:rFonts w:ascii="TimesNewRomanPSMT" w:hAnsi="TimesNewRomanPSMT" w:cs="TimesNewRomanPSMT"/>
          <w:sz w:val="24"/>
          <w:szCs w:val="24"/>
        </w:rPr>
        <w:t>iverso dall’assegnatario, non comporta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decadenza se il soggetto interessato, entro sei mesi dalla perdita del requisito,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anche successivamente alla comunicazione dell’ente gestore di cui al comma 2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dell’articolo 13, trasferisce la titolarità dei diritti di </w:t>
      </w:r>
      <w:r>
        <w:rPr>
          <w:rFonts w:ascii="Times New Roman" w:hAnsi="Times New Roman" w:cs="Times New Roman"/>
          <w:sz w:val="24"/>
          <w:szCs w:val="24"/>
        </w:rPr>
        <w:t>cui alla lettera c) del comma 1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fuoriesce dal nucleo familiare assegnatario, trasferendo la propria residenza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altrove. Le disposizioni di cui al precedente periodo si applicano anche ai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procedimenti non ancora conclusi alla data di entrata in vigore della presente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disposizione.”;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all’articolo 12, il comma 5 è sostituito dai seguenti: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“5. L'ampliamento del nucleo familiare fino al secondo grado non necessita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specifica autorizzazione ed è comunicato all'ente gestore entro trenta giorni dal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verificarsi delle ipotesi dei cui al comma 4. Il soggetto che entra nel nucleo in seguito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 ampliamento assume nei confronti dell'ente gestore, a decorrere dalla data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ingresso, gli stessi obblighi dell'assegnatario originario. In caso di comunicazioni non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veritiere, l'ampliamento non produce effetti ai fini dell'eventuale subentro. Se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l’ampliamento determina la perdita dei requisiti soggettivi di cui all’articolo 11, l'ente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gestore dichiara la decadenza dall'assegnazione.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5-bis. Le disposizioni di cui al comma 5 si applicano anche ai procedimenti avviati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precedentemente all’entrata in vigore della presente disposizione e non ancora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5-ter. Gli ampliamenti fino al secondo grado non regolamentati dagli enti gestori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antecedenti all’entrata in vigor</w:t>
      </w:r>
      <w:r>
        <w:rPr>
          <w:rFonts w:ascii="Times New Roman" w:hAnsi="Times New Roman" w:cs="Times New Roman"/>
          <w:sz w:val="24"/>
          <w:szCs w:val="24"/>
        </w:rPr>
        <w:t>e della presente legge sono considerati definitivamente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conclusi. Gli enti gestori verificano nei tre mesi successivi i requisiti previsti dalla</w:t>
      </w:r>
    </w:p>
    <w:p w:rsidR="00847802" w:rsidRDefault="00847802" w:rsidP="00847802">
      <w:r>
        <w:rPr>
          <w:rFonts w:ascii="TimesNewRomanPSMT" w:hAnsi="TimesNewRomanPSMT" w:cs="TimesNewRomanPSMT"/>
          <w:sz w:val="24"/>
          <w:szCs w:val="24"/>
        </w:rPr>
        <w:t>normativa vigente in materia di decadenza.”.</w:t>
      </w:r>
    </w:p>
    <w:p w:rsidR="00847802" w:rsidRDefault="00847802" w:rsidP="00847802"/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36. </w:t>
      </w:r>
      <w:r>
        <w:rPr>
          <w:rFonts w:ascii="TimesNewRomanPSMT" w:hAnsi="TimesNewRomanPSMT" w:cs="TimesNewRomanPSMT"/>
          <w:sz w:val="24"/>
          <w:szCs w:val="24"/>
        </w:rPr>
        <w:t>Il comma 87, dell’articolo 1 della legge region</w:t>
      </w:r>
      <w:r>
        <w:rPr>
          <w:rFonts w:ascii="Times New Roman" w:hAnsi="Times New Roman" w:cs="Times New Roman"/>
          <w:sz w:val="24"/>
          <w:szCs w:val="24"/>
        </w:rPr>
        <w:t>ale 11 agosto 2008, n. 14 (Assestamento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bilancio annuale e pluriennale 2008-2010 della Regione Lazio) è così sostituito: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“87. La Regione, al fine di incentivare lo sviluppo di tutte le attività commerciali, delle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imprese artigiane e di quelle che esercitano il piccolo commercio, dispone che il canone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locazione delle unità immobiliari ad uso non abitativo di proprietà delle ATER è ridotto del 50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cento rispetto a quello desumibile dalle quotazioni OMI minime per le unità immobiliari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appartenenti alla stessa categoria catastale. Le disposizioni di cui al primo periodo si applicano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esclusivamente per le unità immobiliari non rientranti nel patrimonio destinato all’edilizia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residenziale pubblica che si trovano nei quartieri periferici di Roma capitale, nei comuni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mediograndi</w:t>
      </w:r>
      <w:proofErr w:type="spellEnd"/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 nei piccoli comuni per evitare il rischio di decremento demografico nelle aree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svantaggiate. Tale disposizione di riduzione del 50 per cento dei canoni si applica altresì ai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terreni, alle aree periferiche utilizzate per attività sportive, florovivaistiche. Per questi ambiti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territoriali al fine di agevolare il recupero delle morosità salvaguardando la continuità operativa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delle attività le somme dovute possono essere dilazionate fino ad un massimo di 240 rate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mensili. La vendita di tali porzioni immobiliari è sempre consentita su richiesta dei conduttori.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valore di alienazione sarà calcolato sulle quotazioni OMI minime rilevate nei sei mesi</w:t>
      </w:r>
    </w:p>
    <w:p w:rsidR="00847802" w:rsidRDefault="00847802" w:rsidP="00847802">
      <w:r>
        <w:rPr>
          <w:rFonts w:ascii="TimesNewRomanPSMT" w:hAnsi="TimesNewRomanPSMT" w:cs="TimesNewRomanPSMT"/>
          <w:sz w:val="24"/>
          <w:szCs w:val="24"/>
        </w:rPr>
        <w:t>antecedenti la richiesta di vendita.”.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“4 bis. Per gli </w:t>
      </w:r>
      <w:r>
        <w:rPr>
          <w:rFonts w:ascii="Times New Roman" w:hAnsi="Times New Roman" w:cs="Times New Roman"/>
          <w:sz w:val="24"/>
          <w:szCs w:val="24"/>
        </w:rPr>
        <w:t>interventi degli enti gestori di edilizia residenziale pubblica volti 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recuperare e rifunzionalizzare, per attività socio-culturali e sportive con finalità sociali,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pertinenze o gli altri locali tecnici dismessi e le altre parti comuni degli edifici di cui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all’articolo 1117 del codice civile, il contributo straordinario relativo agli interventi su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aree o immobili in variante urbanistica, in deroga o cambio di destinazione d’uso, è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dovuto in misura non superiore al 10 per cento del maggior valore generato dagli</w:t>
      </w:r>
    </w:p>
    <w:p w:rsidR="006F514F" w:rsidRDefault="00847802" w:rsidP="0084780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interventi.”.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132. </w:t>
      </w:r>
      <w:r>
        <w:rPr>
          <w:rFonts w:ascii="Times New Roman" w:hAnsi="Times New Roman" w:cs="Times New Roman"/>
          <w:sz w:val="24"/>
          <w:szCs w:val="24"/>
        </w:rPr>
        <w:t>Per rispondere alle esigenze abitative di categorie sociali deboli e di nuclei familiari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soggetti a provvedimenti esecutivi di </w:t>
      </w:r>
      <w:r>
        <w:rPr>
          <w:rFonts w:ascii="TimesNewRomanPSMT" w:hAnsi="TimesNewRomanPSMT" w:cs="TimesNewRomanPSMT"/>
          <w:sz w:val="24"/>
          <w:szCs w:val="24"/>
        </w:rPr>
        <w:t>sfratto, dall’entrata in vigore della presente legge, nei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bandi destinati ad imprese e cooperative di abitazione del programma sperimentale denominato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“20.000 abitazioni in affitto”, fruenti dei contributi statali ai sensi dell’articolo 3 della legge 8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NewRomanPSMT" w:hAnsi="TimesNewRomanPSMT" w:cs="TimesNewRomanPSMT"/>
          <w:sz w:val="24"/>
          <w:szCs w:val="24"/>
        </w:rPr>
        <w:t>bbraio 2001, n. 21 (Misure per ridurre il disagio abitativo ed interventi per aumentare l’offerta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 alloggi in locazione), l’offerta di alloggi da destinare alla locazione è assegnata unicamente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condizioni determinate dalla legge regionale in materia di edilizia residenziale pubblica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agevolata.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133. </w:t>
      </w:r>
      <w:r>
        <w:rPr>
          <w:rFonts w:ascii="Times New Roman" w:hAnsi="Times New Roman" w:cs="Times New Roman"/>
          <w:sz w:val="24"/>
          <w:szCs w:val="24"/>
        </w:rPr>
        <w:t>Ai sensi di quanto disposto al comma 132 è pertanto tassativamente escluso per tali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contratti di locazione l’applicazione del canone convenzionato di cui all’articolo 2, comma 3,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della legge 9 dicembre 1998, n. 431 (Disciplina delle locazioni e del rilascio degli immobili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adibiti ad uso abitativo).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134. </w:t>
      </w:r>
      <w:r>
        <w:rPr>
          <w:rFonts w:ascii="Times New Roman" w:hAnsi="Times New Roman" w:cs="Times New Roman"/>
          <w:sz w:val="24"/>
          <w:szCs w:val="24"/>
        </w:rPr>
        <w:t>La Regione promuove interventi diretti a fronteggiare situazioni straordinarie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emergenza abitativa riguardanti nuclei familiari in condizioni documentate di particolare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disagio economico.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135. </w:t>
      </w:r>
      <w:r>
        <w:rPr>
          <w:rFonts w:ascii="Times New Roman" w:hAnsi="Times New Roman" w:cs="Times New Roman"/>
          <w:sz w:val="24"/>
          <w:szCs w:val="24"/>
        </w:rPr>
        <w:t>Per le finalità di cui al comma 134, le ASP possono riservare una quota non superiore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15 per cento del proprio patrimonio immobiliare disponibile per far fronte a specifiche 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documentate situazioni di emergenza abitativa. Tali riserve sono disposte sulla base di accordi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stipulati con la Regione e con altri enti eventualmente interessati, ai sensi dell’articolo 15 della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legge 7 agosto 1990, n. 241 (Nuove norme in materia di procedimento amministrativo e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diritto di accesso ai documenti amministrativi), assicurando comunque il perseguimento delle</w:t>
      </w:r>
    </w:p>
    <w:p w:rsidR="00847802" w:rsidRDefault="00847802" w:rsidP="00847802">
      <w:r>
        <w:rPr>
          <w:rFonts w:ascii="Times New Roman" w:hAnsi="Times New Roman" w:cs="Times New Roman"/>
          <w:sz w:val="24"/>
          <w:szCs w:val="24"/>
        </w:rPr>
        <w:t>finalità istituzionali di ciascun ente.</w:t>
      </w:r>
    </w:p>
    <w:p w:rsidR="00847802" w:rsidRDefault="00847802" w:rsidP="00847802"/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136. </w:t>
      </w:r>
      <w:r>
        <w:rPr>
          <w:rFonts w:ascii="Times New Roman" w:hAnsi="Times New Roman" w:cs="Times New Roman"/>
          <w:sz w:val="24"/>
          <w:szCs w:val="24"/>
        </w:rPr>
        <w:t>Per le finalità di cui al comma 134: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fermo restando quanto previsto dall’articolo 4, comma 1, lettera c), della legge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regionale 6 agosto 1999, n. 12 (Disciplina delle funzioni amministrative regionali 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locali in materia di edilizia residenziale pubblica) e dal regolamento di cui all’articolo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 comma 1, della medesima legge regionale, i comuni e le ATER assegnano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alloggi, in misura non superiore ad un ulteriore 10 per cento degli alloggi di cui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all’articolo 10 della citata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l.r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12/1999, per far fronte a gravi situazioni di emergenza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abitativa, anche oggetto di esame da parte del Comitato provinciale per l’ordine e la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sicurez</w:t>
      </w:r>
      <w:r>
        <w:rPr>
          <w:rFonts w:ascii="TimesNewRomanPSMT" w:hAnsi="TimesNewRomanPSMT" w:cs="TimesNewRomanPSMT"/>
          <w:sz w:val="24"/>
          <w:szCs w:val="24"/>
        </w:rPr>
        <w:t>za pubblica di cui all’articolo 20 della legge 1° aprile 1981, n. 121 (Nuovo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ordinamento dell'Amministrazione della pubblica sicurezza). Le assegnazioni di cui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precedente periodo possono essere disposte anche nei confronti dei soggetti non in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possesso d</w:t>
      </w:r>
      <w:r>
        <w:rPr>
          <w:rFonts w:ascii="TimesNewRomanPSMT" w:hAnsi="TimesNewRomanPSMT" w:cs="TimesNewRomanPSMT"/>
          <w:sz w:val="24"/>
          <w:szCs w:val="24"/>
        </w:rPr>
        <w:t xml:space="preserve">ei requisiti di cui all’articolo 11, comma 1, lettere a) e b), della citata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l.r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12/1999, per una durata massima di due anni, eventualmente prorogabile di un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ulteriore anno, decorsi i quali gli immobili sono rilasciati e rientrano nella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disponibilità ordinaria degli enti gestori.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 Comuni e le ATER possono acquistare direttamente unità immobiliari residenziali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dei commi 17-</w:t>
      </w:r>
      <w:r>
        <w:rPr>
          <w:rFonts w:ascii="TimesNewRomanPSMT" w:hAnsi="TimesNewRomanPSMT" w:cs="TimesNewRomanPSMT"/>
          <w:sz w:val="24"/>
          <w:szCs w:val="24"/>
        </w:rPr>
        <w:t>bis e 20 dell’articolo 3 del decreto legge 25 settembre 2001,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 351 (Disposizioni urgenti in materia di privatizzazione e valorizzazione del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patrimonio immobiliare pubblico e di sviluppo dei fondi comuni di investimento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immobiliare), convertito in legge, con modificazioni, dalla legge 23 novembre 2001,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 410, da assegnare ai soggetti che si trovano in condizioni di disagio economico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cui al comma 4 del medesimo articolo. Delle relative operazioni di acquisto è data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notizia, con l’indicazione del soggetto pubblico alienante e del prezzo pattuito, sul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sito istituzionale dell’ente. La congruità del prezzo è attestata dall'Agen</w:t>
      </w:r>
      <w:r>
        <w:rPr>
          <w:rFonts w:ascii="Times New Roman" w:hAnsi="Times New Roman" w:cs="Times New Roman"/>
          <w:sz w:val="24"/>
          <w:szCs w:val="24"/>
        </w:rPr>
        <w:t>zia del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demanio, previo rimborso delle spese.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137. </w:t>
      </w:r>
      <w:r>
        <w:rPr>
          <w:rFonts w:ascii="Times New Roman" w:hAnsi="Times New Roman" w:cs="Times New Roman"/>
          <w:sz w:val="24"/>
          <w:szCs w:val="24"/>
        </w:rPr>
        <w:t>Con deliberazione della Giunta regionale, da adottarsi entro trenta giorni dalla data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entrata in vigore della presente legge, sono definite le modalità di attuazione delle disposizioni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cui al comma 136.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138. </w:t>
      </w:r>
      <w:r>
        <w:rPr>
          <w:rFonts w:ascii="TimesNewRomanPSMT" w:hAnsi="TimesNewRomanPSMT" w:cs="TimesNewRomanPSMT"/>
          <w:sz w:val="24"/>
          <w:szCs w:val="24"/>
        </w:rPr>
        <w:t>Dopo la lettera c) del comma 1 dell’articolo 5 della legge regionale 6 agosto 1999, n. 12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(Disciplina delle funzioni amministrative regionali e locali in materia di edilizia residenziale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pubblica) è inserita la seguente: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“c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bis) la riserva e l’ass</w:t>
      </w:r>
      <w:r>
        <w:rPr>
          <w:rFonts w:ascii="Times New Roman" w:hAnsi="Times New Roman" w:cs="Times New Roman"/>
          <w:sz w:val="24"/>
          <w:szCs w:val="24"/>
        </w:rPr>
        <w:t>egnazione di alloggi di edilizia residenziale pubblica destinati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all'assistenza abitativa per situazioni di emergenza abitativa e negli altri casi previsti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dalla normativa vigente;”.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139. </w:t>
      </w:r>
      <w:r>
        <w:rPr>
          <w:rFonts w:ascii="TimesNewRomanPSMT" w:hAnsi="TimesNewRomanPSMT" w:cs="TimesNewRomanPSMT"/>
          <w:sz w:val="24"/>
          <w:szCs w:val="24"/>
        </w:rPr>
        <w:t>All’articolo 48</w:t>
      </w:r>
      <w:r>
        <w:rPr>
          <w:rFonts w:ascii="Times New Roman" w:hAnsi="Times New Roman" w:cs="Times New Roman"/>
          <w:sz w:val="24"/>
          <w:szCs w:val="24"/>
        </w:rPr>
        <w:t>-bis della legge regionale 28 dicembre 2006, n. 27 (Legge finanziaria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regionale per l'esercizio 2007 (art. 11, legge regionale 20 novembre 2001, n. 25)) sono apportate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seguenti modifiche: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al comma 1, dopo le parole “Giunta regionale” sono inserite le seguenti: “sentita la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commissione consiliare compete</w:t>
      </w:r>
      <w:r>
        <w:rPr>
          <w:rFonts w:ascii="TimesNewRomanPSMT" w:hAnsi="TimesNewRomanPSMT" w:cs="TimesNewRomanPSMT"/>
          <w:sz w:val="24"/>
          <w:szCs w:val="24"/>
        </w:rPr>
        <w:t>nte”;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dopo il comma 1 sono inseriti i seguenti: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“1</w:t>
      </w:r>
      <w:r>
        <w:rPr>
          <w:rFonts w:ascii="Times New Roman" w:hAnsi="Times New Roman" w:cs="Times New Roman"/>
          <w:sz w:val="24"/>
          <w:szCs w:val="24"/>
        </w:rPr>
        <w:t>-bis.0. Ai nuclei familiari i cui redditi risultino inferiori al limite fissato per la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permanenza e non intendano procedere all’acquisto dell’immobile dovrà essere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garantito, limitatamente al titolare e al suo nucleo familiare, in caso di attivazione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procedure di mobilità a seguito del mancato acquisto, un trasferimento, ove possibile,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all’interno del contesto sociale e territoriale di appartenenza, ovvero un alloggio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insistente nello stesso quartiere o limitrofo. Gli enti gestori attivano tali procedure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27/02/2020 - BOLLETTINO UFFICIALE DELLA REGIONE LAZIO - N. 17 - Supplemento n. 2 P a g. 82 di 104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esclusivamente nella fase finale dei piani di vendita. Le procedure di alienazione in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nuda proprietà si applicano in tutti i piani di vendita esclusivamente per i nuclei i cui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componenti abbiano un’età </w:t>
      </w:r>
      <w:r>
        <w:rPr>
          <w:rFonts w:ascii="Times New Roman" w:hAnsi="Times New Roman" w:cs="Times New Roman"/>
          <w:sz w:val="24"/>
          <w:szCs w:val="24"/>
        </w:rPr>
        <w:t>uguale o superiore a settanta anni.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1-bis.01. Gli enti gestori, nei casi di difficoltà di accesso da parte degli inquilini al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sistema bancario, possono alternativamente predisporre procedure di alienazione con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patti di futura vendita inserendo gli immobili in un piano di gestione della locazione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patto di futura vendita.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1-bis.02. Il canone di locazione degli alloggi caratterizzati da particolare pregio 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ubicati in zone di pregio inseriti nel piano e destinati alla locazione con patto di futura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vendita </w:t>
      </w:r>
      <w:r>
        <w:rPr>
          <w:rFonts w:ascii="TimesNewRomanPSMT" w:hAnsi="TimesNewRomanPSMT" w:cs="TimesNewRomanPSMT"/>
          <w:sz w:val="24"/>
          <w:szCs w:val="24"/>
        </w:rPr>
        <w:t>è determinato dall’ente gestore sulla base del valore OMI aggiornato previsto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la locazione di analoga tipologia di alloggio, anche in considerazione dello stato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conservativo dell’alloggio. Ai fini della determinazione del canone di locazione, per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tali </w:t>
      </w:r>
      <w:r>
        <w:rPr>
          <w:rFonts w:ascii="TimesNewRomanPSMT" w:hAnsi="TimesNewRomanPSMT" w:cs="TimesNewRomanPSMT"/>
          <w:sz w:val="24"/>
          <w:szCs w:val="24"/>
        </w:rPr>
        <w:t>alloggi l’ente gestore può apportare al valore OMI abbattimenti da un minimo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20 per cento fino ad un massimo del 35 per cento in ragione delle diverse fasce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reddito e della durata della locazione. La durata dei patti di futura vendita può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essere di 15 e 25 anni ed è scelta dagli inquilini.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NewRomanPSMT" w:hAnsi="TimesNewRomanPSMT" w:cs="TimesNewRomanPSMT"/>
          <w:sz w:val="24"/>
          <w:szCs w:val="24"/>
        </w:rPr>
        <w:t>bis.03. Per tutti i programmi finalizzati all’emergenza abitativa promossi dai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Comuni, anche approvati mediante la procedura dell’accordo di programma, è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consentito, anche su iniziativa dei soggetti attuatori, e senza che ciò necessiti di una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modifica dell’accordo stesso, estendere alle ATER l’acquisto degli alloggi realizzati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 da realizzare, ovvero l’utilizzo degli istituti della permuta, della locazione con patto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riscatto, del leasing in costruendo, ferme restando tutte le altre condizioni già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previste in sede di approvazione dei programmi. Per tali iniziative, la Regione può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concedere appositi contributi, può autorizzare le ATER ad attivare procedure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acquisizione, partenariato, permute, secondo criteri e modalità definiti con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deliberazione della Giunta regionale.”;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al comma 1-</w:t>
      </w:r>
      <w:r>
        <w:rPr>
          <w:rFonts w:ascii="TimesNewRomanPSMT" w:hAnsi="TimesNewRomanPSMT" w:cs="TimesNewRomanPSMT"/>
          <w:sz w:val="24"/>
          <w:szCs w:val="24"/>
        </w:rPr>
        <w:t>ter, dopo la parola “trenta” sono aggiunte le seguenti: “con un anticipo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del 30 per cento”;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dopo il comma 1-quater è aggiunto il seguente: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“1</w:t>
      </w:r>
      <w:r>
        <w:rPr>
          <w:rFonts w:ascii="Times New Roman" w:hAnsi="Times New Roman" w:cs="Times New Roman"/>
          <w:sz w:val="24"/>
          <w:szCs w:val="24"/>
        </w:rPr>
        <w:t>-quinquies. Nei piani di cessione adottati dagli enti gestori per le zone di pregio,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ovvero per gli immobili di elevato valore immobiliare, laddove il programma di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alienazione preveda immobili classificabili come A/1, A/7, A/8, A/9, A/10, nonché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il patrimonio destinato ad uso diverso da quello abitativo quali aree, locali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commerciali o artigianali, e tale alienazione sia funzionale alle finalità complessive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programma, gli enti gestori potranno applicare abbattimenti in relazione alla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vetustà dei fabbricati fino ad un massimo del 30 per cento; gli enti gestori possono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altresì, per i lavori storicamente sostenuti dal conduttore all’interno degli alloggi ,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applicare ulteriori abbattimenti comunque non superiori ad un ulteriore 20 per cento.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Giunta regionale, entro sessanta giorni dal</w:t>
      </w:r>
      <w:r>
        <w:rPr>
          <w:rFonts w:ascii="TimesNewRomanPSMT" w:hAnsi="TimesNewRomanPSMT" w:cs="TimesNewRomanPSMT"/>
          <w:sz w:val="24"/>
          <w:szCs w:val="24"/>
        </w:rPr>
        <w:t>l’approvazione della presente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disposizione, provvederà con propria deliberazione a fissare i criteri per gli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abbattimenti.”.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140. </w:t>
      </w:r>
      <w:r>
        <w:rPr>
          <w:rFonts w:ascii="TimesNewRomanPSMT" w:hAnsi="TimesNewRomanPSMT" w:cs="TimesNewRomanPSMT"/>
          <w:sz w:val="24"/>
          <w:szCs w:val="24"/>
        </w:rPr>
        <w:t>In deroga all’articolo 15 della legge regionale 6 agosto 1999, n. 12 (Disciplina delle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funzioni amministrative regionali e locali in materia di edilizia residenziale pubblica) e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successive modifiche, nei confronti di coloro che alla data del 23 maggio 2014, data di entrata</w:t>
      </w:r>
    </w:p>
    <w:p w:rsidR="00847802" w:rsidRDefault="00847802" w:rsidP="008478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vigore del decreto legge 28 marzo 2014, n. 47, convertito con la legge 23 maggio 2014, n.</w:t>
      </w:r>
    </w:p>
    <w:p w:rsidR="00847802" w:rsidRDefault="00847802" w:rsidP="00847802">
      <w:pPr>
        <w:rPr>
          <w:rFonts w:ascii="Arial" w:hAnsi="Arial" w:cs="Arial"/>
          <w:sz w:val="20"/>
          <w:szCs w:val="20"/>
        </w:rPr>
      </w:pP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80, occupano senza titolo alloggi di edilizia residenziale pubblica, i comuni dispongono, in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presenza delle condizioni richieste per l’assegnazione, la regolarizzazione dell’alloggio.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141. </w:t>
      </w:r>
      <w:r>
        <w:rPr>
          <w:rFonts w:ascii="TimesNewRomanPSMT" w:hAnsi="TimesNewRomanPSMT" w:cs="TimesNewRomanPSMT"/>
          <w:sz w:val="24"/>
          <w:szCs w:val="24"/>
        </w:rPr>
        <w:t>L’assegnazione in regolarizzazione di cui al comma 140 è subordinata: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al protrarsi dell’occupazione da parte dello stesso nucleo familiare dalla data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occupazione fino al momento del provvedimento di assegnazione in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regolarizzazione. La data di inizio dell’occupazione deve essere comprovata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esclusivamente tramite censimento reddituale, certificazione anagrafica o verbale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accertamento della polizia locale in data anteriore al 23 maggio 2014;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al possesso, al momento della presentazione della domanda, dei requisiti di cui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all’articolo 11, comma 1, della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l.r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12/1999, lettere a), b), c) e d), nonché lettera f)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limitatamente alla previsione di non aver ceduto un alloggio già assegnato. Ai fini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dell’assegnazione in regolarizzazione dell’alloggio, il reddito annuo complessivo del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nucleo familiare non deve essere superiore, alla data di presentazione della domanda,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al limite per l’accesso all’edilizia residenziale pubblica destinata all’assistenza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abitativa di cui articolo 50, comma 2-bis, della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l.r</w:t>
      </w:r>
      <w:proofErr w:type="spellEnd"/>
      <w:r>
        <w:rPr>
          <w:rFonts w:ascii="Times New Roman" w:hAnsi="Times New Roman" w:cs="Times New Roman"/>
          <w:sz w:val="24"/>
          <w:szCs w:val="24"/>
        </w:rPr>
        <w:t>. 27/2006;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alla circostanza che l’occupazione non abbia sottratto il godimento dell’alloggio ad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soggetto legittimo assegnatario che non sia ancora entrato in possesso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dell’alloggio o ad un soggetto che, essendosi </w:t>
      </w:r>
      <w:r>
        <w:rPr>
          <w:rFonts w:ascii="Times New Roman" w:hAnsi="Times New Roman" w:cs="Times New Roman"/>
          <w:sz w:val="24"/>
          <w:szCs w:val="24"/>
        </w:rPr>
        <w:t>assentato, abbia segnalato con atto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avente data certa l’avvenuta occupazione oppure ad un soggetto in attesa di voltura.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142. </w:t>
      </w:r>
      <w:r>
        <w:rPr>
          <w:rFonts w:ascii="TimesNewRomanPSMT" w:hAnsi="TimesNewRomanPSMT" w:cs="TimesNewRomanPSMT"/>
          <w:sz w:val="24"/>
          <w:szCs w:val="24"/>
        </w:rPr>
        <w:t>Per il periodo dell’occupazione dell’alloggio, per un massimo di cinque anni, in deroga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all’articolo 15, comma 5, della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l.r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12/1</w:t>
      </w:r>
      <w:r>
        <w:rPr>
          <w:rFonts w:ascii="Times New Roman" w:hAnsi="Times New Roman" w:cs="Times New Roman"/>
          <w:sz w:val="24"/>
          <w:szCs w:val="24"/>
        </w:rPr>
        <w:t>999, è dovuta una indennità pari al canone ERP calcolato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base al reddito, oltre alla sanzione di euro 200,00 mensili, ridotta del 10 per cento per i nuclei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familiari in cui siano presenti minori o del 20 per cento qualora siano presenti minori con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disabilità, nonché le spese per i servizi a rimborso, a decorrere dalla data di occupazione e fino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data della presentazione della domanda. Tale indennità, previo versamento di un acconto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pari al 5 per cento della somma dovuta, è rateizzata secondo la capacità reddituale del nucleo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familiare nonché secondo le modalità e i criteri individuati con deliberazione della Giunta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regionale entro novanta giorni dall’entrata in vigore della presente legge. Gli enti gestori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approvano il piano di rateizzazione nei confronti degli assegnatari in regolarizzazione prima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della stipula dei relativi contratti di locazione.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143. </w:t>
      </w:r>
      <w:r>
        <w:rPr>
          <w:rFonts w:ascii="Times New Roman" w:hAnsi="Times New Roman" w:cs="Times New Roman"/>
          <w:sz w:val="24"/>
          <w:szCs w:val="24"/>
        </w:rPr>
        <w:t>Qualora le procedure di regolarizzazione comprendano alloggi inseriti nei piani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vendita, il titolare dell’alloggio, trascorsi cinque anni dall’asseg</w:t>
      </w:r>
      <w:r>
        <w:rPr>
          <w:rFonts w:ascii="Times New Roman" w:hAnsi="Times New Roman" w:cs="Times New Roman"/>
          <w:sz w:val="24"/>
          <w:szCs w:val="24"/>
        </w:rPr>
        <w:t>nazione in regolarizzazione,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può optare tra l’acquisto dell’alloggio e l’adesione a procedure di mobilità verso altro immobile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messo a disposizione nel comune di residenza ai sensi dell’articolo 2, comma 5, del decreto del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Ministero delle infrastrutture e dei trasporti 24 febbraio 2015. Gli enti gestori, a tal fine,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riservano un congruo numero di alloggi disponibili alla data di attivazione del piano di vendita,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destinare alla procedura di mobilità.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144. </w:t>
      </w:r>
      <w:r>
        <w:rPr>
          <w:rFonts w:ascii="TimesNewRomanPSMT" w:hAnsi="TimesNewRomanPSMT" w:cs="TimesNewRomanPSMT"/>
          <w:sz w:val="24"/>
          <w:szCs w:val="24"/>
        </w:rPr>
        <w:t>In deroga a quanto previsto dall’articolo 15, comm</w:t>
      </w:r>
      <w:r>
        <w:rPr>
          <w:rFonts w:ascii="Times New Roman" w:hAnsi="Times New Roman" w:cs="Times New Roman"/>
          <w:sz w:val="24"/>
          <w:szCs w:val="24"/>
        </w:rPr>
        <w:t xml:space="preserve">a 5, della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l.r</w:t>
      </w:r>
      <w:proofErr w:type="spellEnd"/>
      <w:r>
        <w:rPr>
          <w:rFonts w:ascii="Times New Roman" w:hAnsi="Times New Roman" w:cs="Times New Roman"/>
          <w:sz w:val="24"/>
          <w:szCs w:val="24"/>
        </w:rPr>
        <w:t>. 12/1999, gli occupanti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senza titolo in possesso dei requisiti di cui al comma 141 ad eccezione di quelli reddituali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previsti alla lettera b) del medesimo comma, che abbiano un reddito annuo complessivo del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nucleo familiare inferiore a quello fissato quale limite di decadenza, possono comunque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richiedere la regolarizzazione contrattuale. Per il periodo di occupazione, per un massimo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cinque anni, è dovuta una indennità pari al canone determinato sulla base dei criteri di cui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all’Allegato A, </w:t>
      </w:r>
      <w:r>
        <w:rPr>
          <w:rFonts w:ascii="Times New Roman" w:hAnsi="Times New Roman" w:cs="Times New Roman"/>
          <w:sz w:val="24"/>
          <w:szCs w:val="24"/>
        </w:rPr>
        <w:t>punto 4, lettera a) della delibera della Giunta regionale 2 marzo 2018, n. 157,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relativo al canone calmierato di cui all’articolo 6 del regolamento regionale 28 dicembre 2012,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 18. Gli enti gestori applicano abbattimenti progressivi da un minimo dal 30 per cento al 60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27/02/2020 - BOLLETTINO UFFICIALE DELLA REGIONE LAZIO - N. 17 - Supplemento n. 2 P a g. 84 di 104</w:t>
      </w:r>
    </w:p>
    <w:p w:rsidR="004E5A8B" w:rsidRDefault="004E5A8B" w:rsidP="004E5A8B">
      <w:r>
        <w:rPr>
          <w:rFonts w:ascii="Times New Roman" w:hAnsi="Times New Roman" w:cs="Times New Roman"/>
          <w:sz w:val="24"/>
          <w:szCs w:val="24"/>
        </w:rPr>
        <w:t>82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cento tenendo conto del reddito del nucleo familiare. Oltre alla suddetta indennità si applica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 sanzione di euro 250,00 mensili, ridotta del 10 per cento per i nuclei familiari in cui siano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presenti minori o del 20 per cento qualora siano presenti minori con disabilità, nonché le spese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i servizi a rimborso a decorrere dalla data di occupazione e fino alla data della presentazione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della domanda. Tale indennità, previo versamento di un acconto pari al 5 per cento della somma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dovuta, è rateizzata secondo la capacità reddituale del nucleo familiare ovvero secondo le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modalità predisposte dagli enti gestori, tramite un piano di rateizzazione da approvare prima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della stipula dei contratti di locazione.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145. </w:t>
      </w:r>
      <w:r>
        <w:rPr>
          <w:rFonts w:ascii="Times New Roman" w:hAnsi="Times New Roman" w:cs="Times New Roman"/>
          <w:sz w:val="24"/>
          <w:szCs w:val="24"/>
        </w:rPr>
        <w:t>Le disposizioni dei commi da 140 a 152 non si applicano agli immobili, occupati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successivamente alla data del 23 maggio 2014, inseriti nei piani di gestione della locazione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cui al comma 66 dell’articolo 17 della legge regionale 14 agosto 2017, n. 9 ovvero nei piani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alienazione adottati dagli enti gestori, anche successivamente alla data di entrata in vigore della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 legge, in attuazione del decreto del Ministero delle infrastrutture e dei trasporti del 24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febbraio 2015.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146. </w:t>
      </w:r>
      <w:r>
        <w:rPr>
          <w:rFonts w:ascii="Times New Roman" w:hAnsi="Times New Roman" w:cs="Times New Roman"/>
          <w:sz w:val="24"/>
          <w:szCs w:val="24"/>
        </w:rPr>
        <w:t>La regolarizzazione è richiesta tramite domanda di regolarizzazione ai comuni, redatta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 un apposito modello predisposto dalla Regione, in distribuzione presso i comuni stessi e le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Aziende territoriali per l’edilizia residenziale pubblica (ATER). Il modello di domanda, nonché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termini e le modalità di presentazione sono approvati con deliberazione della Giunta regionale.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147. </w:t>
      </w:r>
      <w:r>
        <w:rPr>
          <w:rFonts w:ascii="Times New Roman" w:hAnsi="Times New Roman" w:cs="Times New Roman"/>
          <w:sz w:val="24"/>
          <w:szCs w:val="24"/>
        </w:rPr>
        <w:t>Nei casi di cessione volontaria, di accertata compravendita, di omessa denuncia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occupazione da parte di terzi dell’alloggio assegnato, di mancata riconsegna dell’alloggio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edili</w:t>
      </w:r>
      <w:r>
        <w:rPr>
          <w:rFonts w:ascii="TimesNewRomanPSMT" w:hAnsi="TimesNewRomanPSMT" w:cs="TimesNewRomanPSMT"/>
          <w:sz w:val="24"/>
          <w:szCs w:val="24"/>
        </w:rPr>
        <w:t>zia residenziale pubblica all’ente gestore e comunque in tutti i casi di illegittima cessione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dell’alloggio, l’assegnatario decade dal diritto e l’occupante non ha titolo alla regolarizzazione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contrattuale, ovvero all’acquisto dell’immobile. I soggetti che </w:t>
      </w:r>
      <w:r>
        <w:rPr>
          <w:rFonts w:ascii="Times New Roman" w:hAnsi="Times New Roman" w:cs="Times New Roman"/>
          <w:sz w:val="24"/>
          <w:szCs w:val="24"/>
        </w:rPr>
        <w:t>risultano aver effettuato più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tre accessi in immobili ERP senza una comunicazione preventiva o un’autorizzazione dell’ente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gestore sono esclusi da nuove assegnazioni e regolarizzazioni. È fatto obbligo ai comuni ed agli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enti gestori di comunicare all’autorità competente all’emanazione della sanzione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amministrativa prevista dall’articolo 15 della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l.r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12/1999 i nomi degli assegnatari che hanno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lasciato gli alloggi loro assegnati.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148. </w:t>
      </w:r>
      <w:r>
        <w:rPr>
          <w:rFonts w:ascii="TimesNewRomanPSMT" w:hAnsi="TimesNewRomanPSMT" w:cs="TimesNewRomanPSMT"/>
          <w:sz w:val="24"/>
          <w:szCs w:val="24"/>
        </w:rPr>
        <w:t>L’ente competente alle assegnazioni di cui all’articolo 4, comma 1, le</w:t>
      </w:r>
      <w:r>
        <w:rPr>
          <w:rFonts w:ascii="Times New Roman" w:hAnsi="Times New Roman" w:cs="Times New Roman"/>
          <w:sz w:val="24"/>
          <w:szCs w:val="24"/>
        </w:rPr>
        <w:t xml:space="preserve">ttera b) della </w:t>
      </w:r>
      <w:proofErr w:type="spellStart"/>
      <w:r>
        <w:rPr>
          <w:rFonts w:ascii="Times New Roman" w:hAnsi="Times New Roman" w:cs="Times New Roman"/>
          <w:sz w:val="24"/>
          <w:szCs w:val="24"/>
        </w:rPr>
        <w:t>l.r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12/1999 provvede, previo accordo con l’ente gestore per tutti gli alloggi di edilizia residenziale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pubblica ricadenti nel proprio territorio, all’attuazione delle procedure necessarie per il rilascio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immediato degli immobili, comunque non oltre centoventi giorni, da parte degli occupanti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senza titolo, in qualunque modo accertato. L’ente gestore trascorsi centoventi giorni può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disporre autonomamente il recupero degli immobili.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149. </w:t>
      </w:r>
      <w:r>
        <w:rPr>
          <w:rFonts w:ascii="Times New Roman" w:hAnsi="Times New Roman" w:cs="Times New Roman"/>
          <w:sz w:val="24"/>
          <w:szCs w:val="24"/>
        </w:rPr>
        <w:t>Gli occupanti che non sono in possesso dei requisiti previsti dai commi da 140 a 144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la regolarizzazione delle occupazioni, che sono seguiti dai servizi sociali del comune ove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insiste l’immobile, ovvero in condizione di particolare vulnerabilità sociale quali la presenza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disabili con invalidità superiore ai 2/3, di figli minori, di persone ultrasessantacinquenni,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possono richiedere una sospensione dell’obbligo di rilascio immediato ai sensi del comma 147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fine di ottenere un ulteriore periodo di permanenza provvisoria negli immobili. La richiesta,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alla quale deve essere allegata la relativa certificazione da parte dei servizi sociali o un apposito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atto d’adesione a un progetto di sostegno realizzato dai servizi sociali, è presentata al comune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competente al fine di sospendere temporaneamente l’attuazione d</w:t>
      </w:r>
      <w:r>
        <w:rPr>
          <w:rFonts w:ascii="Times New Roman" w:hAnsi="Times New Roman" w:cs="Times New Roman"/>
          <w:sz w:val="24"/>
          <w:szCs w:val="24"/>
        </w:rPr>
        <w:t>elle procedure di cui al comma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147.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150. </w:t>
      </w:r>
      <w:r>
        <w:rPr>
          <w:rFonts w:ascii="Times New Roman" w:hAnsi="Times New Roman" w:cs="Times New Roman"/>
          <w:sz w:val="24"/>
          <w:szCs w:val="24"/>
        </w:rPr>
        <w:t>Gli enti gestori entro dodici mesi dalla data di entrata in vigore della presente legge,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completano le istruttorie delle istanze di regolarizzazioni concernenti: richieste presentate ai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27/02/2020 - BOLLETTINO UFFICIALE DELLA REGIONE LAZIO - N. 17 - Supplemento n. 2 P a g. 85 di 104</w:t>
      </w:r>
    </w:p>
    <w:p w:rsidR="004E5A8B" w:rsidRDefault="004E5A8B" w:rsidP="004E5A8B">
      <w:r>
        <w:rPr>
          <w:rFonts w:ascii="Times New Roman" w:hAnsi="Times New Roman" w:cs="Times New Roman"/>
          <w:sz w:val="24"/>
          <w:szCs w:val="24"/>
        </w:rPr>
        <w:t>83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sensi della legge regionale 33/1987 e successive modifiche; assegnazioni a carattere provvisorio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 in assistenza alloggiativa; ampliamenti dei nuclei familiari.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151. </w:t>
      </w:r>
      <w:r>
        <w:rPr>
          <w:rFonts w:ascii="Times New Roman" w:hAnsi="Times New Roman" w:cs="Times New Roman"/>
          <w:sz w:val="24"/>
          <w:szCs w:val="24"/>
        </w:rPr>
        <w:t>Ai procedimenti di cui al comma 150 ancora in corso alla data di entrata in vigore della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 legge continuano ad applicarsi le disposizioni vigenti al momento del loro avvio.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152. </w:t>
      </w:r>
      <w:r>
        <w:rPr>
          <w:rFonts w:ascii="Times New Roman" w:hAnsi="Times New Roman" w:cs="Times New Roman"/>
          <w:sz w:val="24"/>
          <w:szCs w:val="24"/>
        </w:rPr>
        <w:t>Nei comuni con popolazione superiore ai 50.000 abitanti, in deroga alla lettera f),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comma 1, dell’articolo 11 della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l.r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12/1999, ai nuclei familiari in possesso dei requisiti idonei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per l’accesso all’edilizia residenziale pubblica che abbiano già rilasciato l’alloggio alla data di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entrata in vigore della presente legge è concessa facoltà di partecipazione ai bandi di concorso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indetti dai comuni per l’assegnazione di alloggi ERP. Tale deroga </w:t>
      </w:r>
      <w:r>
        <w:rPr>
          <w:rFonts w:ascii="Times New Roman" w:hAnsi="Times New Roman" w:cs="Times New Roman"/>
          <w:sz w:val="24"/>
          <w:szCs w:val="24"/>
        </w:rPr>
        <w:t>si applica altresì ai nuclei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familiari che abbiano occupato l’alloggio successivamente alla data di cui al comma 140 e che,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entro ventiquattro mesi dalla pubblicazione delle graduatorie dei bandi, abbiano raggiunto una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posizione utile per l’assegnazione dell’alloggio. Le indennità dovute dai soggetti di cui al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precedente periodo sono calcolate secondo i criteri di cui al comma 142. Qualora il nucleo non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pervenga ad una posizione utile per l’assegnazione entro ventiquattro mesi dalla pubblicazione</w:t>
      </w:r>
    </w:p>
    <w:p w:rsidR="004E5A8B" w:rsidRDefault="004E5A8B" w:rsidP="004E5A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delle grad</w:t>
      </w:r>
      <w:r>
        <w:rPr>
          <w:rFonts w:ascii="TimesNewRomanPSMT" w:hAnsi="TimesNewRomanPSMT" w:cs="TimesNewRomanPSMT"/>
          <w:sz w:val="24"/>
          <w:szCs w:val="24"/>
        </w:rPr>
        <w:t>uatorie dei bandi, l’alloggio è rilasciato e rientra nella disponibilità del comune, che</w:t>
      </w:r>
    </w:p>
    <w:p w:rsidR="004E5A8B" w:rsidRPr="004E5A8B" w:rsidRDefault="004E5A8B" w:rsidP="004E5A8B">
      <w:r>
        <w:rPr>
          <w:rFonts w:ascii="Times New Roman" w:hAnsi="Times New Roman" w:cs="Times New Roman"/>
          <w:sz w:val="24"/>
          <w:szCs w:val="24"/>
        </w:rPr>
        <w:t>procede con lo scorrimento della graduatoria.</w:t>
      </w:r>
      <w:bookmarkEnd w:id="0"/>
    </w:p>
    <w:sectPr w:rsidR="004E5A8B" w:rsidRPr="004E5A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02"/>
    <w:rsid w:val="004E5A8B"/>
    <w:rsid w:val="006F514F"/>
    <w:rsid w:val="0084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3482</Words>
  <Characters>19849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1</cp:revision>
  <dcterms:created xsi:type="dcterms:W3CDTF">2020-02-28T14:38:00Z</dcterms:created>
  <dcterms:modified xsi:type="dcterms:W3CDTF">2020-02-28T14:57:00Z</dcterms:modified>
</cp:coreProperties>
</file>